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03B" w:rsidRPr="00D35D8C" w:rsidRDefault="00F2703B" w:rsidP="001C1C22">
      <w:pPr>
        <w:spacing w:after="0" w:line="288" w:lineRule="auto"/>
        <w:rPr>
          <w:rFonts w:eastAsia="Times New Roman" w:cs="Times New Roman"/>
          <w:iCs/>
          <w:sz w:val="24"/>
          <w:szCs w:val="24"/>
          <w:lang w:eastAsia="es-AR"/>
        </w:rPr>
      </w:pPr>
    </w:p>
    <w:p w:rsidR="004B4094" w:rsidRPr="001C1C22" w:rsidRDefault="00762F14" w:rsidP="001C1C22">
      <w:pPr>
        <w:spacing w:after="0" w:line="288" w:lineRule="auto"/>
        <w:jc w:val="both"/>
        <w:rPr>
          <w:rFonts w:ascii="MyriadPro" w:eastAsia="Times New Roman" w:hAnsi="MyriadPro" w:cs="Times New Roman"/>
          <w:color w:val="000000" w:themeColor="text1"/>
          <w:lang w:eastAsia="es-AR"/>
        </w:rPr>
      </w:pPr>
      <w:r w:rsidRPr="001C1C22">
        <w:rPr>
          <w:rFonts w:ascii="MyriadPro" w:eastAsia="Times New Roman" w:hAnsi="MyriadPro" w:cs="Times New Roman"/>
          <w:color w:val="000000" w:themeColor="text1"/>
          <w:lang w:eastAsia="es-AR"/>
        </w:rPr>
        <w:t>Con fecha 08</w:t>
      </w:r>
      <w:r w:rsidR="006D3113" w:rsidRPr="001C1C22">
        <w:rPr>
          <w:rFonts w:ascii="MyriadPro" w:eastAsia="Times New Roman" w:hAnsi="MyriadPro" w:cs="Times New Roman"/>
          <w:color w:val="000000" w:themeColor="text1"/>
          <w:lang w:eastAsia="es-AR"/>
        </w:rPr>
        <w:t>.0</w:t>
      </w:r>
      <w:r w:rsidRPr="001C1C22">
        <w:rPr>
          <w:rFonts w:ascii="MyriadPro" w:eastAsia="Times New Roman" w:hAnsi="MyriadPro" w:cs="Times New Roman"/>
          <w:color w:val="000000" w:themeColor="text1"/>
          <w:lang w:eastAsia="es-AR"/>
        </w:rPr>
        <w:t>9</w:t>
      </w:r>
      <w:r w:rsidR="006D3113" w:rsidRPr="001C1C22">
        <w:rPr>
          <w:rFonts w:ascii="MyriadPro" w:eastAsia="Times New Roman" w:hAnsi="MyriadPro" w:cs="Times New Roman"/>
          <w:color w:val="000000" w:themeColor="text1"/>
          <w:lang w:eastAsia="es-AR"/>
        </w:rPr>
        <w:t>.2015</w:t>
      </w:r>
      <w:r w:rsidRPr="001C1C22">
        <w:rPr>
          <w:rFonts w:ascii="MyriadPro" w:eastAsia="Times New Roman" w:hAnsi="MyriadPro" w:cs="Times New Roman"/>
          <w:color w:val="000000" w:themeColor="text1"/>
          <w:lang w:eastAsia="es-AR"/>
        </w:rPr>
        <w:t>,</w:t>
      </w:r>
      <w:r w:rsidR="006D3113" w:rsidRPr="001C1C22">
        <w:rPr>
          <w:rFonts w:ascii="MyriadPro" w:eastAsia="Times New Roman" w:hAnsi="MyriadPro" w:cs="Times New Roman"/>
          <w:color w:val="000000" w:themeColor="text1"/>
          <w:lang w:eastAsia="es-AR"/>
        </w:rPr>
        <w:t xml:space="preserve"> </w:t>
      </w:r>
      <w:r w:rsidRPr="001C1C22">
        <w:rPr>
          <w:rFonts w:ascii="MyriadPro" w:eastAsia="Times New Roman" w:hAnsi="MyriadPro" w:cs="Times New Roman"/>
          <w:color w:val="000000" w:themeColor="text1"/>
          <w:lang w:eastAsia="es-AR"/>
        </w:rPr>
        <w:t xml:space="preserve">en el Boletín Oficial de la República Argentina, </w:t>
      </w:r>
      <w:r w:rsidR="006D3113" w:rsidRPr="001C1C22">
        <w:rPr>
          <w:rFonts w:ascii="MyriadPro" w:eastAsia="Times New Roman" w:hAnsi="MyriadPro" w:cs="Times New Roman"/>
          <w:color w:val="000000" w:themeColor="text1"/>
          <w:lang w:eastAsia="es-AR"/>
        </w:rPr>
        <w:t xml:space="preserve">se publicó </w:t>
      </w:r>
      <w:r w:rsidRPr="001C1C22">
        <w:rPr>
          <w:rFonts w:ascii="MyriadPro" w:eastAsia="Times New Roman" w:hAnsi="MyriadPro" w:cs="Times New Roman"/>
          <w:color w:val="000000" w:themeColor="text1"/>
          <w:lang w:eastAsia="es-AR"/>
        </w:rPr>
        <w:t>la ley 27.170, promulgada el 31.08 pasado, por la cual se modifican una serie de artículo de la ley 24</w:t>
      </w:r>
      <w:r w:rsidR="00514D9D">
        <w:rPr>
          <w:rFonts w:ascii="MyriadPro" w:eastAsia="Times New Roman" w:hAnsi="MyriadPro" w:cs="Times New Roman"/>
          <w:color w:val="000000" w:themeColor="text1"/>
          <w:lang w:eastAsia="es-AR"/>
        </w:rPr>
        <w:t>.</w:t>
      </w:r>
      <w:r w:rsidRPr="001C1C22">
        <w:rPr>
          <w:rFonts w:ascii="MyriadPro" w:eastAsia="Times New Roman" w:hAnsi="MyriadPro" w:cs="Times New Roman"/>
          <w:color w:val="000000" w:themeColor="text1"/>
          <w:lang w:eastAsia="es-AR"/>
        </w:rPr>
        <w:t>522 (en adelante “</w:t>
      </w:r>
      <w:r w:rsidR="005B4B62" w:rsidRPr="001C1C22">
        <w:rPr>
          <w:rFonts w:ascii="MyriadPro" w:eastAsia="Times New Roman" w:hAnsi="MyriadPro" w:cs="Times New Roman"/>
          <w:color w:val="000000" w:themeColor="text1"/>
          <w:lang w:eastAsia="es-AR"/>
        </w:rPr>
        <w:t>LCQ</w:t>
      </w:r>
      <w:r w:rsidRPr="001C1C22">
        <w:rPr>
          <w:rFonts w:ascii="MyriadPro" w:eastAsia="Times New Roman" w:hAnsi="MyriadPro" w:cs="Times New Roman"/>
          <w:color w:val="000000" w:themeColor="text1"/>
          <w:lang w:eastAsia="es-AR"/>
        </w:rPr>
        <w:t>”</w:t>
      </w:r>
      <w:r w:rsidR="00AB7E54" w:rsidRPr="001C1C22">
        <w:rPr>
          <w:rFonts w:ascii="MyriadPro" w:eastAsia="Times New Roman" w:hAnsi="MyriadPro" w:cs="Times New Roman"/>
          <w:color w:val="000000" w:themeColor="text1"/>
          <w:lang w:eastAsia="es-AR"/>
        </w:rPr>
        <w:t xml:space="preserve">), </w:t>
      </w:r>
      <w:r w:rsidR="000204B7" w:rsidRPr="001C1C22">
        <w:rPr>
          <w:rFonts w:ascii="MyriadPro" w:eastAsia="Times New Roman" w:hAnsi="MyriadPro" w:cs="Times New Roman"/>
          <w:color w:val="000000" w:themeColor="text1"/>
          <w:lang w:eastAsia="es-AR"/>
        </w:rPr>
        <w:t>particularmente los arts. 32 y 200 de la LCQ, que regulan el Período Informativo</w:t>
      </w:r>
      <w:r w:rsidR="004B4094" w:rsidRPr="001C1C22">
        <w:rPr>
          <w:rFonts w:ascii="MyriadPro" w:eastAsia="Times New Roman" w:hAnsi="MyriadPro" w:cs="Times New Roman"/>
          <w:color w:val="000000" w:themeColor="text1"/>
          <w:lang w:eastAsia="es-AR"/>
        </w:rPr>
        <w:t xml:space="preserve"> del Concurso Preventivo y de la Quiebra respectivamente</w:t>
      </w:r>
      <w:r w:rsidR="000204B7" w:rsidRPr="001C1C22">
        <w:rPr>
          <w:rFonts w:ascii="MyriadPro" w:eastAsia="Times New Roman" w:hAnsi="MyriadPro" w:cs="Times New Roman"/>
          <w:color w:val="000000" w:themeColor="text1"/>
          <w:lang w:eastAsia="es-AR"/>
        </w:rPr>
        <w:t>, y el art. 288</w:t>
      </w:r>
      <w:r w:rsidR="004B4094" w:rsidRPr="001C1C22">
        <w:rPr>
          <w:rFonts w:ascii="MyriadPro" w:eastAsia="Times New Roman" w:hAnsi="MyriadPro" w:cs="Times New Roman"/>
          <w:color w:val="000000" w:themeColor="text1"/>
          <w:lang w:eastAsia="es-AR"/>
        </w:rPr>
        <w:t>,</w:t>
      </w:r>
      <w:r w:rsidR="000204B7" w:rsidRPr="001C1C22">
        <w:rPr>
          <w:rFonts w:ascii="MyriadPro" w:eastAsia="Times New Roman" w:hAnsi="MyriadPro" w:cs="Times New Roman"/>
          <w:color w:val="000000" w:themeColor="text1"/>
          <w:lang w:eastAsia="es-AR"/>
        </w:rPr>
        <w:t xml:space="preserve"> que </w:t>
      </w:r>
      <w:r w:rsidR="004B4094" w:rsidRPr="001C1C22">
        <w:rPr>
          <w:rFonts w:ascii="MyriadPro" w:eastAsia="Times New Roman" w:hAnsi="MyriadPro" w:cs="Times New Roman"/>
          <w:color w:val="000000" w:themeColor="text1"/>
          <w:lang w:eastAsia="es-AR"/>
        </w:rPr>
        <w:t>establece las circunstancias que determinan cuando estamos frente a un pequeño Concurso o Quiebra.</w:t>
      </w:r>
    </w:p>
    <w:p w:rsidR="004B4094" w:rsidRPr="001C1C22" w:rsidRDefault="004B4094" w:rsidP="001C1C22">
      <w:pPr>
        <w:spacing w:after="0" w:line="288" w:lineRule="auto"/>
        <w:jc w:val="both"/>
        <w:rPr>
          <w:rFonts w:ascii="MyriadPro" w:eastAsia="Times New Roman" w:hAnsi="MyriadPro" w:cs="Times New Roman"/>
          <w:color w:val="000000" w:themeColor="text1"/>
          <w:lang w:eastAsia="es-AR"/>
        </w:rPr>
      </w:pPr>
    </w:p>
    <w:p w:rsidR="005B4B62" w:rsidRPr="001C1C22" w:rsidRDefault="005B4B62" w:rsidP="001C1C22">
      <w:pPr>
        <w:spacing w:after="0" w:line="288" w:lineRule="auto"/>
        <w:jc w:val="both"/>
        <w:rPr>
          <w:rFonts w:ascii="MyriadPro" w:eastAsia="Times New Roman" w:hAnsi="MyriadPro" w:cs="Times New Roman"/>
          <w:i/>
          <w:color w:val="000000" w:themeColor="text1"/>
          <w:lang w:eastAsia="es-AR"/>
        </w:rPr>
      </w:pPr>
      <w:r w:rsidRPr="001C1C22">
        <w:rPr>
          <w:rFonts w:ascii="MyriadPro" w:eastAsia="Times New Roman" w:hAnsi="MyriadPro" w:cs="Times New Roman"/>
          <w:color w:val="000000" w:themeColor="text1"/>
          <w:lang w:eastAsia="es-AR"/>
        </w:rPr>
        <w:t xml:space="preserve">Conforme a lo dicho, tanto el artículo 32 como el artículo 200 de la LCQ, en la versión anterior a la modificación en análisis, disponían que en los concursos y en la quiebras, respectivamente, </w:t>
      </w:r>
      <w:r w:rsidRPr="001C1C22">
        <w:rPr>
          <w:rFonts w:ascii="MyriadPro" w:eastAsia="Times New Roman" w:hAnsi="MyriadPro" w:cs="Times New Roman"/>
          <w:i/>
          <w:color w:val="000000" w:themeColor="text1"/>
          <w:lang w:eastAsia="es-AR"/>
        </w:rPr>
        <w:t>“…por cada solicitud de verificación de crédito que se presente, el acreedor pagará al síndico un arancel de CINCUENTA PESOS ($ 50) que se sumará a dicho crédito.</w:t>
      </w:r>
      <w:r w:rsidRPr="001C1C22">
        <w:rPr>
          <w:rFonts w:ascii="MyriadPro" w:hAnsi="MyriadPro" w:cs="Times New Roman"/>
        </w:rPr>
        <w:t xml:space="preserve"> </w:t>
      </w:r>
      <w:r w:rsidRPr="001C1C22">
        <w:rPr>
          <w:rFonts w:ascii="MyriadPro" w:eastAsia="Times New Roman" w:hAnsi="MyriadPro" w:cs="Times New Roman"/>
          <w:i/>
          <w:color w:val="000000" w:themeColor="text1"/>
          <w:lang w:eastAsia="es-AR"/>
        </w:rPr>
        <w:t>El síndico afectará la suma referida a los gastos que le demande el proceso de verificación y confección de los informes, con cargo de oportuna rendición de cuentas al juzgado, quedando el remanente como suma a cuenta de honorarios a regularse por su actuación. Exclúyese del arancel a los créditos de causa laboral, y a los menores de MIL PESOS ($ 1000), sin necesidad de declaración judicial..."</w:t>
      </w:r>
    </w:p>
    <w:p w:rsidR="00D445F5" w:rsidRPr="001C1C22" w:rsidRDefault="00D445F5" w:rsidP="001C1C22">
      <w:pPr>
        <w:spacing w:after="0" w:line="288" w:lineRule="auto"/>
        <w:jc w:val="both"/>
        <w:rPr>
          <w:rFonts w:ascii="MyriadPro" w:eastAsia="Times New Roman" w:hAnsi="MyriadPro" w:cs="Times New Roman"/>
          <w:color w:val="000000" w:themeColor="text1"/>
          <w:lang w:eastAsia="es-AR"/>
        </w:rPr>
      </w:pPr>
    </w:p>
    <w:p w:rsidR="00D445F5" w:rsidRPr="001C1C22" w:rsidRDefault="00D445F5" w:rsidP="001C1C22">
      <w:pPr>
        <w:spacing w:after="0" w:line="288" w:lineRule="auto"/>
        <w:jc w:val="both"/>
        <w:rPr>
          <w:rFonts w:ascii="MyriadPro" w:eastAsia="Times New Roman" w:hAnsi="MyriadPro" w:cs="Times New Roman"/>
          <w:color w:val="000000" w:themeColor="text1"/>
          <w:lang w:eastAsia="es-AR"/>
        </w:rPr>
      </w:pPr>
      <w:r w:rsidRPr="001C1C22">
        <w:rPr>
          <w:rFonts w:ascii="MyriadPro" w:eastAsia="Times New Roman" w:hAnsi="MyriadPro" w:cs="Times New Roman"/>
          <w:color w:val="000000" w:themeColor="text1"/>
          <w:lang w:eastAsia="es-AR"/>
        </w:rPr>
        <w:t>La modificación introducida por la ley 27.170, a los mentados artículos, radica no solo en la actualización del arancel verificatorio, sino también del monto del crédito a verificar eximido del pago de dicho arancel.</w:t>
      </w:r>
    </w:p>
    <w:p w:rsidR="000204B7" w:rsidRPr="001C1C22" w:rsidRDefault="000204B7" w:rsidP="001C1C22">
      <w:pPr>
        <w:spacing w:after="0" w:line="288" w:lineRule="auto"/>
        <w:jc w:val="both"/>
        <w:rPr>
          <w:rFonts w:ascii="MyriadPro" w:eastAsia="Times New Roman" w:hAnsi="MyriadPro" w:cs="Times New Roman"/>
          <w:color w:val="000000" w:themeColor="text1"/>
          <w:lang w:eastAsia="es-AR"/>
        </w:rPr>
      </w:pPr>
    </w:p>
    <w:p w:rsidR="00D445F5" w:rsidRPr="001C1C22" w:rsidRDefault="0090741A" w:rsidP="001C1C22">
      <w:pPr>
        <w:spacing w:after="0" w:line="288" w:lineRule="auto"/>
        <w:jc w:val="both"/>
        <w:rPr>
          <w:rFonts w:ascii="MyriadPro" w:eastAsia="Times New Roman" w:hAnsi="MyriadPro" w:cs="Times New Roman"/>
          <w:i/>
          <w:color w:val="000000" w:themeColor="text1"/>
          <w:lang w:eastAsia="es-AR"/>
        </w:rPr>
      </w:pPr>
      <w:r>
        <w:rPr>
          <w:rFonts w:ascii="MyriadPro" w:eastAsia="Times New Roman" w:hAnsi="MyriadPro" w:cs="Times New Roman"/>
          <w:color w:val="000000" w:themeColor="text1"/>
          <w:lang w:eastAsia="es-AR"/>
        </w:rPr>
        <w:t>Los nuevos textos de los artículos</w:t>
      </w:r>
      <w:r w:rsidR="00D445F5" w:rsidRPr="001C1C22">
        <w:rPr>
          <w:rFonts w:ascii="MyriadPro" w:eastAsia="Times New Roman" w:hAnsi="MyriadPro" w:cs="Times New Roman"/>
          <w:color w:val="000000" w:themeColor="text1"/>
          <w:lang w:eastAsia="es-AR"/>
        </w:rPr>
        <w:t xml:space="preserve"> 32 y 200 de la LCQ, en su parte pertinente, disponen que por cada solicitud de verificación de crédito, </w:t>
      </w:r>
      <w:r w:rsidR="00D445F5" w:rsidRPr="001C1C22">
        <w:rPr>
          <w:rFonts w:ascii="MyriadPro" w:eastAsia="Times New Roman" w:hAnsi="MyriadPro" w:cs="Times New Roman"/>
          <w:i/>
          <w:color w:val="000000" w:themeColor="text1"/>
          <w:lang w:eastAsia="es-AR"/>
        </w:rPr>
        <w:t>“…el acreedor, sea tempestivo, incidental o tardío, pagará al síndico un arancel equivalente al 10 por ciento (10%) del salario mínimo vital y móvil que se sumara a dicho crédito… Exclúyase del arancel a los créditos de causa laboral, y a los equivalentes a menos de tres (3) salarios mínimos vitales y móviles, sin necesidad de declaración judicial…”.</w:t>
      </w:r>
    </w:p>
    <w:p w:rsidR="004B4094" w:rsidRPr="001C1C22" w:rsidRDefault="004B4094" w:rsidP="001C1C22">
      <w:pPr>
        <w:spacing w:after="0" w:line="288" w:lineRule="auto"/>
        <w:jc w:val="both"/>
        <w:rPr>
          <w:rFonts w:ascii="MyriadPro" w:eastAsia="Times New Roman" w:hAnsi="MyriadPro" w:cs="Times New Roman"/>
          <w:color w:val="000000" w:themeColor="text1"/>
          <w:lang w:eastAsia="es-AR"/>
        </w:rPr>
      </w:pPr>
    </w:p>
    <w:p w:rsidR="004B4094" w:rsidRPr="001C1C22" w:rsidRDefault="004B4094" w:rsidP="001C1C22">
      <w:pPr>
        <w:spacing w:after="0" w:line="288" w:lineRule="auto"/>
        <w:jc w:val="both"/>
        <w:rPr>
          <w:rFonts w:ascii="MyriadPro" w:eastAsia="Times New Roman" w:hAnsi="MyriadPro" w:cs="Times New Roman"/>
          <w:color w:val="000000" w:themeColor="text1"/>
          <w:lang w:eastAsia="es-AR"/>
        </w:rPr>
      </w:pPr>
      <w:r w:rsidRPr="001C1C22">
        <w:rPr>
          <w:rFonts w:ascii="MyriadPro" w:eastAsia="Times New Roman" w:hAnsi="MyriadPro" w:cs="Times New Roman"/>
          <w:color w:val="000000" w:themeColor="text1"/>
          <w:lang w:eastAsia="es-AR"/>
        </w:rPr>
        <w:t>La modificación introducida por la ley 27.170, a los mentados artículos, radica no solo en la actualización del arancel verificatorio, sino también del monto del crédito a verificar eximido del pago de dicho arancel.</w:t>
      </w:r>
    </w:p>
    <w:p w:rsidR="00D445F5" w:rsidRPr="001C1C22" w:rsidRDefault="00D445F5" w:rsidP="001C1C22">
      <w:pPr>
        <w:spacing w:after="0" w:line="288" w:lineRule="auto"/>
        <w:jc w:val="both"/>
        <w:rPr>
          <w:rFonts w:ascii="MyriadPro" w:eastAsia="Times New Roman" w:hAnsi="MyriadPro" w:cs="Times New Roman"/>
          <w:i/>
          <w:color w:val="000000" w:themeColor="text1"/>
          <w:lang w:eastAsia="es-AR"/>
        </w:rPr>
      </w:pPr>
    </w:p>
    <w:p w:rsidR="000204B7" w:rsidRPr="001C1C22" w:rsidRDefault="004B4094" w:rsidP="001C1C22">
      <w:pPr>
        <w:spacing w:after="0" w:line="288" w:lineRule="auto"/>
        <w:jc w:val="both"/>
        <w:rPr>
          <w:rFonts w:ascii="MyriadPro" w:hAnsi="MyriadPro" w:cs="Times New Roman"/>
        </w:rPr>
      </w:pPr>
      <w:r w:rsidRPr="001C1C22">
        <w:rPr>
          <w:rFonts w:ascii="MyriadPro" w:eastAsia="Times New Roman" w:hAnsi="MyriadPro" w:cs="Times New Roman"/>
          <w:color w:val="000000" w:themeColor="text1"/>
          <w:lang w:eastAsia="es-AR"/>
        </w:rPr>
        <w:t>Conforme a lo anterior, en virtud a</w:t>
      </w:r>
      <w:r w:rsidR="0090741A">
        <w:rPr>
          <w:rFonts w:ascii="MyriadPro" w:eastAsia="Times New Roman" w:hAnsi="MyriadPro" w:cs="Times New Roman"/>
          <w:color w:val="000000" w:themeColor="text1"/>
          <w:lang w:eastAsia="es-AR"/>
        </w:rPr>
        <w:t>l artículo</w:t>
      </w:r>
      <w:bookmarkStart w:id="0" w:name="_GoBack"/>
      <w:bookmarkEnd w:id="0"/>
      <w:r w:rsidR="00D445F5" w:rsidRPr="001C1C22">
        <w:rPr>
          <w:rFonts w:ascii="MyriadPro" w:eastAsia="Times New Roman" w:hAnsi="MyriadPro" w:cs="Times New Roman"/>
          <w:color w:val="000000" w:themeColor="text1"/>
          <w:lang w:eastAsia="es-AR"/>
        </w:rPr>
        <w:t xml:space="preserve"> 139 de la ley N° 24.013, el Consejo Nacional del Empleo, la Productividad y el Salario, Vital y Móvil, mediante la Resolución 4/2015, </w:t>
      </w:r>
      <w:r w:rsidR="000204B7" w:rsidRPr="001C1C22">
        <w:rPr>
          <w:rFonts w:ascii="MyriadPro" w:eastAsia="Times New Roman" w:hAnsi="MyriadPro" w:cs="Times New Roman"/>
          <w:color w:val="000000" w:themeColor="text1"/>
          <w:lang w:eastAsia="es-AR"/>
        </w:rPr>
        <w:t>“…</w:t>
      </w:r>
      <w:r w:rsidR="00D445F5" w:rsidRPr="001C1C22">
        <w:rPr>
          <w:rFonts w:ascii="MyriadPro" w:hAnsi="MyriadPro" w:cs="Times New Roman"/>
          <w:i/>
        </w:rPr>
        <w:t>teniendo en cuenta los datos de la situación socioeconómica, los objetivos del instituto y la razonabilid</w:t>
      </w:r>
      <w:r w:rsidR="000204B7" w:rsidRPr="001C1C22">
        <w:rPr>
          <w:rFonts w:ascii="MyriadPro" w:hAnsi="MyriadPro" w:cs="Times New Roman"/>
          <w:i/>
        </w:rPr>
        <w:t>ad de la adecuación entre ambos…”</w:t>
      </w:r>
      <w:r w:rsidR="000204B7" w:rsidRPr="001C1C22">
        <w:rPr>
          <w:rFonts w:ascii="MyriadPro" w:hAnsi="MyriadPro" w:cs="Times New Roman"/>
        </w:rPr>
        <w:t xml:space="preserve">, resolvió fijar un incremento del Salario Mínimo, Vital y Móvil, para los trabajadores comprendidos en el Régimen de Contrato de Trabajo (Ley N° 20.744), de la Administración Pública Nacional y de todas las entidades y organismos en que el Estado Nacional actúe como empleador, en dos partes: </w:t>
      </w:r>
    </w:p>
    <w:p w:rsidR="000204B7" w:rsidRPr="001C1C22" w:rsidRDefault="000204B7" w:rsidP="001C1C22">
      <w:pPr>
        <w:spacing w:after="0" w:line="288" w:lineRule="auto"/>
        <w:jc w:val="both"/>
        <w:rPr>
          <w:rFonts w:ascii="MyriadPro" w:hAnsi="MyriadPro" w:cs="Times New Roman"/>
          <w:i/>
        </w:rPr>
      </w:pPr>
      <w:r w:rsidRPr="001C1C22">
        <w:rPr>
          <w:rFonts w:ascii="MyriadPro" w:hAnsi="MyriadPro" w:cs="Times New Roman"/>
        </w:rPr>
        <w:t xml:space="preserve"> </w:t>
      </w:r>
      <w:r w:rsidRPr="001C1C22">
        <w:rPr>
          <w:rFonts w:ascii="MyriadPro" w:hAnsi="MyriadPro" w:cs="Times New Roman"/>
          <w:i/>
        </w:rPr>
        <w:t>“…A) A partir del 1° de agosto de 2015, en PESOS CINCO MIL QUINIENTOS OCHENTA Y OCHO ($ 5.588)… y de PESOS VEINTISIETE CON NOVENTA Y CUATRO CENTAVOS ($ 27,94) por hora, para los trabajadores jornalizados…</w:t>
      </w:r>
    </w:p>
    <w:p w:rsidR="000204B7" w:rsidRPr="001C1C22" w:rsidRDefault="000204B7" w:rsidP="001C1C22">
      <w:pPr>
        <w:spacing w:after="0" w:line="288" w:lineRule="auto"/>
        <w:jc w:val="both"/>
        <w:rPr>
          <w:rFonts w:ascii="MyriadPro" w:hAnsi="MyriadPro" w:cs="Times New Roman"/>
          <w:i/>
        </w:rPr>
      </w:pPr>
      <w:r w:rsidRPr="001C1C22">
        <w:rPr>
          <w:rFonts w:ascii="MyriadPro" w:hAnsi="MyriadPro" w:cs="Times New Roman"/>
          <w:i/>
        </w:rPr>
        <w:lastRenderedPageBreak/>
        <w:t>B) A partir del 1° de enero del año 2016, en PESOS SEIS MIL SESENTA ($ 6.060)… y de PESOS TREINTA CON TREINTA CENTAVOS ($ 30,30) por hora, para los trabajadores jornalizados…”</w:t>
      </w:r>
      <w:r w:rsidRPr="001C1C22">
        <w:rPr>
          <w:rStyle w:val="Refdenotaalpie"/>
          <w:rFonts w:ascii="MyriadPro" w:hAnsi="MyriadPro" w:cs="Times New Roman"/>
          <w:i/>
        </w:rPr>
        <w:footnoteReference w:id="1"/>
      </w:r>
    </w:p>
    <w:p w:rsidR="004B4094" w:rsidRPr="001C1C22" w:rsidRDefault="004B4094" w:rsidP="001C1C22">
      <w:pPr>
        <w:spacing w:after="0" w:line="288" w:lineRule="auto"/>
        <w:jc w:val="both"/>
        <w:rPr>
          <w:rFonts w:ascii="MyriadPro" w:eastAsia="Times New Roman" w:hAnsi="MyriadPro" w:cs="Times New Roman"/>
          <w:color w:val="000000" w:themeColor="text1"/>
          <w:lang w:eastAsia="es-AR"/>
        </w:rPr>
      </w:pPr>
    </w:p>
    <w:p w:rsidR="00C61626" w:rsidRPr="001C1C22" w:rsidRDefault="00C61626" w:rsidP="001C1C22">
      <w:pPr>
        <w:spacing w:after="0" w:line="288" w:lineRule="auto"/>
        <w:jc w:val="both"/>
        <w:rPr>
          <w:rFonts w:ascii="MyriadPro" w:eastAsia="Times New Roman" w:hAnsi="MyriadPro" w:cs="Times New Roman"/>
          <w:color w:val="000000" w:themeColor="text1"/>
          <w:lang w:eastAsia="es-AR"/>
        </w:rPr>
      </w:pPr>
      <w:r w:rsidRPr="001C1C22">
        <w:rPr>
          <w:rFonts w:ascii="MyriadPro" w:eastAsia="Times New Roman" w:hAnsi="MyriadPro" w:cs="Times New Roman"/>
          <w:color w:val="000000" w:themeColor="text1"/>
          <w:lang w:eastAsia="es-AR"/>
        </w:rPr>
        <w:t xml:space="preserve">Teniendo en cuenta la finalidad proyectada del arancel, consiste en solventar los gastos que debe incurrir el síndico durante el proceso de verificación y la confección de informes. </w:t>
      </w:r>
    </w:p>
    <w:p w:rsidR="00C61626" w:rsidRPr="001C1C22" w:rsidRDefault="00C61626" w:rsidP="001C1C22">
      <w:pPr>
        <w:spacing w:after="0" w:line="288" w:lineRule="auto"/>
        <w:jc w:val="both"/>
        <w:rPr>
          <w:rFonts w:ascii="MyriadPro" w:eastAsia="Times New Roman" w:hAnsi="MyriadPro" w:cs="Times New Roman"/>
          <w:color w:val="000000" w:themeColor="text1"/>
          <w:lang w:eastAsia="es-AR"/>
        </w:rPr>
      </w:pPr>
    </w:p>
    <w:p w:rsidR="00C61626" w:rsidRPr="001C1C22" w:rsidRDefault="00C61626" w:rsidP="001C1C22">
      <w:pPr>
        <w:spacing w:after="0" w:line="288" w:lineRule="auto"/>
        <w:jc w:val="both"/>
        <w:rPr>
          <w:rFonts w:ascii="MyriadPro" w:eastAsia="Times New Roman" w:hAnsi="MyriadPro" w:cs="Times New Roman"/>
          <w:color w:val="000000" w:themeColor="text1"/>
          <w:lang w:eastAsia="es-AR"/>
        </w:rPr>
      </w:pPr>
      <w:r w:rsidRPr="001C1C22">
        <w:rPr>
          <w:rFonts w:ascii="MyriadPro" w:eastAsia="Times New Roman" w:hAnsi="MyriadPro" w:cs="Times New Roman"/>
          <w:color w:val="000000" w:themeColor="text1"/>
          <w:lang w:eastAsia="es-AR"/>
        </w:rPr>
        <w:t>Por ello, l</w:t>
      </w:r>
      <w:r w:rsidR="004B4094" w:rsidRPr="001C1C22">
        <w:rPr>
          <w:rFonts w:ascii="MyriadPro" w:eastAsia="Times New Roman" w:hAnsi="MyriadPro" w:cs="Times New Roman"/>
          <w:color w:val="000000" w:themeColor="text1"/>
          <w:lang w:eastAsia="es-AR"/>
        </w:rPr>
        <w:t>a reforma del arancel verificatorio viene a satisfacer las críticas que se fueron presentando en la materia,</w:t>
      </w:r>
      <w:r w:rsidRPr="001C1C22">
        <w:rPr>
          <w:rFonts w:ascii="MyriadPro" w:eastAsia="Times New Roman" w:hAnsi="MyriadPro" w:cs="Times New Roman"/>
          <w:color w:val="000000" w:themeColor="text1"/>
          <w:lang w:eastAsia="es-AR"/>
        </w:rPr>
        <w:t xml:space="preserve"> las cuales consistieron en la arbitrariedad del arancel fijado por la LCQ y la insuficiencia que representaba dicho monto para afrontar los costos que incurren los síndicos para lograr su cometido. </w:t>
      </w:r>
    </w:p>
    <w:p w:rsidR="00C61626" w:rsidRPr="001C1C22" w:rsidRDefault="00C61626" w:rsidP="001C1C22">
      <w:pPr>
        <w:spacing w:after="0" w:line="288" w:lineRule="auto"/>
        <w:jc w:val="both"/>
        <w:rPr>
          <w:rFonts w:ascii="MyriadPro" w:eastAsia="Times New Roman" w:hAnsi="MyriadPro" w:cs="Times New Roman"/>
          <w:color w:val="000000" w:themeColor="text1"/>
          <w:lang w:eastAsia="es-AR"/>
        </w:rPr>
      </w:pPr>
    </w:p>
    <w:p w:rsidR="00C61626" w:rsidRPr="001C1C22" w:rsidRDefault="00C61626" w:rsidP="001C1C22">
      <w:pPr>
        <w:spacing w:after="0" w:line="288" w:lineRule="auto"/>
        <w:jc w:val="both"/>
        <w:rPr>
          <w:rFonts w:ascii="MyriadPro" w:eastAsia="Times New Roman" w:hAnsi="MyriadPro" w:cs="Times New Roman"/>
          <w:color w:val="000000" w:themeColor="text1"/>
          <w:lang w:eastAsia="es-AR"/>
        </w:rPr>
      </w:pPr>
      <w:r w:rsidRPr="001C1C22">
        <w:rPr>
          <w:rFonts w:ascii="MyriadPro" w:eastAsia="Times New Roman" w:hAnsi="MyriadPro" w:cs="Times New Roman"/>
          <w:color w:val="000000" w:themeColor="text1"/>
          <w:lang w:eastAsia="es-AR"/>
        </w:rPr>
        <w:t xml:space="preserve">De esa manera, era menester una actualización, debiéndose contemplar la </w:t>
      </w:r>
      <w:r w:rsidR="004B4094" w:rsidRPr="001C1C22">
        <w:rPr>
          <w:rFonts w:ascii="MyriadPro" w:eastAsia="Times New Roman" w:hAnsi="MyriadPro" w:cs="Times New Roman"/>
          <w:color w:val="000000" w:themeColor="text1"/>
          <w:lang w:eastAsia="es-AR"/>
        </w:rPr>
        <w:t>realidad económica</w:t>
      </w:r>
      <w:r w:rsidR="00C04E3C" w:rsidRPr="001C1C22">
        <w:rPr>
          <w:rFonts w:ascii="MyriadPro" w:eastAsia="Times New Roman" w:hAnsi="MyriadPro" w:cs="Times New Roman"/>
          <w:color w:val="000000" w:themeColor="text1"/>
          <w:lang w:eastAsia="es-AR"/>
        </w:rPr>
        <w:t xml:space="preserve"> y </w:t>
      </w:r>
      <w:r w:rsidRPr="001C1C22">
        <w:rPr>
          <w:rFonts w:ascii="MyriadPro" w:eastAsia="Times New Roman" w:hAnsi="MyriadPro" w:cs="Times New Roman"/>
          <w:color w:val="000000" w:themeColor="text1"/>
          <w:lang w:eastAsia="es-AR"/>
        </w:rPr>
        <w:t>los reajustes de los costos de la tarea asumida por</w:t>
      </w:r>
      <w:r w:rsidR="00C04E3C" w:rsidRPr="001C1C22">
        <w:rPr>
          <w:rFonts w:ascii="MyriadPro" w:eastAsia="Times New Roman" w:hAnsi="MyriadPro" w:cs="Times New Roman"/>
          <w:color w:val="000000" w:themeColor="text1"/>
          <w:lang w:eastAsia="es-AR"/>
        </w:rPr>
        <w:t xml:space="preserve"> el síndico, pudiéndose tomar como base algunos criterios económicos, por ejemplo, el salario mínimo, vital y móvil, el índice de precios nivel general del INDEC e, incluso, el valor del dólar.</w:t>
      </w:r>
    </w:p>
    <w:p w:rsidR="00C61626" w:rsidRPr="001C1C22" w:rsidRDefault="00C61626" w:rsidP="001C1C22">
      <w:pPr>
        <w:spacing w:after="0" w:line="288" w:lineRule="auto"/>
        <w:jc w:val="both"/>
        <w:rPr>
          <w:rFonts w:ascii="MyriadPro" w:eastAsia="Times New Roman" w:hAnsi="MyriadPro" w:cs="Times New Roman"/>
          <w:color w:val="000000" w:themeColor="text1"/>
          <w:lang w:eastAsia="es-AR"/>
        </w:rPr>
      </w:pPr>
    </w:p>
    <w:p w:rsidR="00D35D8C" w:rsidRPr="00C61626" w:rsidRDefault="00C61626" w:rsidP="001C1C22">
      <w:pPr>
        <w:autoSpaceDE w:val="0"/>
        <w:autoSpaceDN w:val="0"/>
        <w:adjustRightInd w:val="0"/>
        <w:spacing w:after="0" w:line="288" w:lineRule="auto"/>
        <w:rPr>
          <w:rFonts w:ascii="MyriadPro" w:hAnsi="MyriadPro" w:cs="Times New Roman"/>
          <w:i/>
          <w:color w:val="000000"/>
        </w:rPr>
      </w:pPr>
      <w:r w:rsidRPr="001C1C22">
        <w:rPr>
          <w:rFonts w:ascii="MyriadPro" w:eastAsia="Times New Roman" w:hAnsi="MyriadPro" w:cs="Times New Roman"/>
          <w:color w:val="000000" w:themeColor="text1"/>
          <w:lang w:eastAsia="es-AR"/>
        </w:rPr>
        <w:t>T</w:t>
      </w:r>
      <w:r w:rsidR="004B4094" w:rsidRPr="001C1C22">
        <w:rPr>
          <w:rFonts w:ascii="MyriadPro" w:eastAsia="Times New Roman" w:hAnsi="MyriadPro" w:cs="Times New Roman"/>
          <w:color w:val="000000" w:themeColor="text1"/>
          <w:lang w:eastAsia="es-AR"/>
        </w:rPr>
        <w:t xml:space="preserve">al es así, que en determinadas ocasiones, jurisprudencialmente, el monto del arancel fue modificado, como </w:t>
      </w:r>
      <w:r w:rsidRPr="001C1C22">
        <w:rPr>
          <w:rFonts w:ascii="MyriadPro" w:eastAsia="Times New Roman" w:hAnsi="MyriadPro" w:cs="Times New Roman"/>
          <w:color w:val="000000" w:themeColor="text1"/>
          <w:lang w:eastAsia="es-AR"/>
        </w:rPr>
        <w:t xml:space="preserve">por ejemplo, en los autos caratulados </w:t>
      </w:r>
      <w:r w:rsidRPr="001C1C22">
        <w:rPr>
          <w:rFonts w:ascii="MyriadPro" w:eastAsia="Times New Roman" w:hAnsi="MyriadPro" w:cs="Times New Roman"/>
          <w:b/>
          <w:color w:val="000000" w:themeColor="text1"/>
          <w:lang w:eastAsia="es-AR"/>
        </w:rPr>
        <w:t>“</w:t>
      </w:r>
      <w:r w:rsidRPr="00C61626">
        <w:rPr>
          <w:rFonts w:ascii="MyriadPro" w:hAnsi="MyriadPro" w:cs="Times New Roman"/>
          <w:b/>
          <w:color w:val="000000"/>
        </w:rPr>
        <w:t>MARAGO Antonio s/ quiebra – Expte. N° 094783"</w:t>
      </w:r>
      <w:r w:rsidRPr="00C61626">
        <w:rPr>
          <w:rFonts w:ascii="MyriadPro" w:hAnsi="MyriadPro" w:cs="Times New Roman"/>
          <w:color w:val="000000"/>
        </w:rPr>
        <w:t xml:space="preserve">, </w:t>
      </w:r>
      <w:r w:rsidR="00D35D8C" w:rsidRPr="001C1C22">
        <w:rPr>
          <w:rFonts w:ascii="MyriadPro" w:hAnsi="MyriadPro" w:cs="Times New Roman"/>
          <w:color w:val="000000"/>
        </w:rPr>
        <w:t xml:space="preserve">radicado en el </w:t>
      </w:r>
      <w:r w:rsidRPr="00C61626">
        <w:rPr>
          <w:rFonts w:ascii="MyriadPro" w:hAnsi="MyriadPro" w:cs="Times New Roman"/>
          <w:color w:val="000000"/>
        </w:rPr>
        <w:t xml:space="preserve">Juzgado Nacional de Primera Instancia en lo Comercial Nº 12, </w:t>
      </w:r>
      <w:r w:rsidR="00D35D8C" w:rsidRPr="001C1C22">
        <w:rPr>
          <w:rFonts w:ascii="MyriadPro" w:hAnsi="MyriadPro" w:cs="Times New Roman"/>
          <w:color w:val="000000"/>
        </w:rPr>
        <w:t xml:space="preserve">Secretaría Nº 24, se dispuso un aumento del mentado arancel fijado por la LCQ, pasándolo a $300, argumentando que: </w:t>
      </w:r>
      <w:r w:rsidR="00D35D8C" w:rsidRPr="001C1C22">
        <w:rPr>
          <w:rFonts w:ascii="MyriadPro" w:hAnsi="MyriadPro" w:cs="Times New Roman"/>
          <w:i/>
          <w:color w:val="000000"/>
        </w:rPr>
        <w:t>“…</w:t>
      </w:r>
      <w:r w:rsidR="00D35D8C" w:rsidRPr="00C61626">
        <w:rPr>
          <w:rFonts w:ascii="MyriadPro" w:hAnsi="MyriadPro" w:cs="Times New Roman"/>
          <w:i/>
          <w:color w:val="000000"/>
        </w:rPr>
        <w:t xml:space="preserve">los $50 establecidos a los fines dispuestos en el art. 32 de la LCQ fueron fijados por la Ley 24.522, desde cuya sanción ocurrida el 20/07/1995 y promulgada en el mes de agosto de ese año, ha transcurrido un prolongado período resultando, en consecuencia, de público y notorio conocimiento la depreciación de aquel importe en virtud del paso del tiempo. </w:t>
      </w:r>
    </w:p>
    <w:p w:rsidR="00D35D8C" w:rsidRPr="001C1C22" w:rsidRDefault="00D35D8C" w:rsidP="001C1C22">
      <w:pPr>
        <w:autoSpaceDE w:val="0"/>
        <w:autoSpaceDN w:val="0"/>
        <w:adjustRightInd w:val="0"/>
        <w:spacing w:after="0" w:line="288" w:lineRule="auto"/>
        <w:rPr>
          <w:rFonts w:ascii="MyriadPro" w:hAnsi="MyriadPro" w:cs="Times New Roman"/>
          <w:i/>
          <w:color w:val="000000"/>
        </w:rPr>
      </w:pPr>
      <w:r w:rsidRPr="00C61626">
        <w:rPr>
          <w:rFonts w:ascii="MyriadPro" w:hAnsi="MyriadPro" w:cs="Times New Roman"/>
          <w:i/>
          <w:color w:val="000000"/>
        </w:rPr>
        <w:t xml:space="preserve">Es claro entonces que tal situación impacta de manera tal que impide el cumplimiento de finalidad originariamente prevista por el legislador al fijarlo, consistente en que la sindicatura pudiera analizar las verificaciones disponiendo de la estructura suficiente para emprender correctamente las </w:t>
      </w:r>
      <w:r w:rsidRPr="001C1C22">
        <w:rPr>
          <w:rFonts w:ascii="MyriadPro" w:hAnsi="MyriadPro" w:cs="Times New Roman"/>
          <w:i/>
          <w:color w:val="000000"/>
        </w:rPr>
        <w:t>tareas del funcionario concursa…”</w:t>
      </w:r>
      <w:r w:rsidRPr="00C61626">
        <w:rPr>
          <w:rFonts w:ascii="MyriadPro" w:hAnsi="MyriadPro" w:cs="Times New Roman"/>
          <w:i/>
          <w:color w:val="000000"/>
        </w:rPr>
        <w:t xml:space="preserve">. </w:t>
      </w:r>
    </w:p>
    <w:p w:rsidR="001C1C22" w:rsidRPr="001C1C22" w:rsidRDefault="00C04E3C" w:rsidP="001C1C22">
      <w:pPr>
        <w:autoSpaceDE w:val="0"/>
        <w:autoSpaceDN w:val="0"/>
        <w:adjustRightInd w:val="0"/>
        <w:spacing w:after="0" w:line="288" w:lineRule="auto"/>
        <w:rPr>
          <w:rFonts w:ascii="MyriadPro" w:hAnsi="MyriadPro" w:cs="Times New Roman"/>
          <w:color w:val="000000"/>
        </w:rPr>
      </w:pPr>
      <w:r w:rsidRPr="001C1C22">
        <w:rPr>
          <w:rFonts w:ascii="MyriadPro" w:hAnsi="MyriadPro" w:cs="Times New Roman"/>
          <w:color w:val="000000"/>
        </w:rPr>
        <w:t xml:space="preserve"> </w:t>
      </w:r>
    </w:p>
    <w:p w:rsidR="00C04E3C" w:rsidRPr="00C61626" w:rsidRDefault="00C04E3C" w:rsidP="001C1C22">
      <w:pPr>
        <w:autoSpaceDE w:val="0"/>
        <w:autoSpaceDN w:val="0"/>
        <w:adjustRightInd w:val="0"/>
        <w:spacing w:after="0" w:line="288" w:lineRule="auto"/>
        <w:rPr>
          <w:rFonts w:ascii="MyriadPro" w:hAnsi="MyriadPro" w:cs="Times New Roman"/>
          <w:color w:val="000000"/>
        </w:rPr>
      </w:pPr>
      <w:r w:rsidRPr="001C1C22">
        <w:rPr>
          <w:rFonts w:ascii="MyriadPro" w:hAnsi="MyriadPro" w:cs="Times New Roman"/>
          <w:color w:val="000000"/>
        </w:rPr>
        <w:t xml:space="preserve">Lo mismo ocurrió en los autos </w:t>
      </w:r>
      <w:r w:rsidRPr="001C1C22">
        <w:rPr>
          <w:rFonts w:ascii="MyriadPro" w:hAnsi="MyriadPro"/>
          <w:b/>
        </w:rPr>
        <w:t>“</w:t>
      </w:r>
      <w:r w:rsidRPr="001C1C22">
        <w:rPr>
          <w:rFonts w:ascii="MyriadPro" w:hAnsi="MyriadPro"/>
          <w:b/>
          <w:i/>
          <w:iCs/>
        </w:rPr>
        <w:t>EM-AR-Gas SRL s/ Concurso preventivo</w:t>
      </w:r>
      <w:r w:rsidRPr="001C1C22">
        <w:rPr>
          <w:rFonts w:ascii="MyriadPro" w:hAnsi="MyriadPro"/>
          <w:b/>
        </w:rPr>
        <w:t>”</w:t>
      </w:r>
      <w:r w:rsidRPr="001C1C22">
        <w:rPr>
          <w:rFonts w:ascii="MyriadPro" w:hAnsi="MyriadPro"/>
        </w:rPr>
        <w:t>, radicado en el Juzgado Nacional en lo Comercial nº 8, cuyo juez a cargo fijo el monto del arancel en $250 y que los créditos inferiores a $5.000.-, se encontraban eximidos del pago del arancel.</w:t>
      </w:r>
    </w:p>
    <w:p w:rsidR="00C61626" w:rsidRPr="001C1C22" w:rsidRDefault="00C61626" w:rsidP="001C1C22">
      <w:pPr>
        <w:pStyle w:val="Default"/>
        <w:spacing w:line="288" w:lineRule="auto"/>
        <w:rPr>
          <w:rFonts w:ascii="MyriadPro" w:hAnsi="MyriadPro"/>
          <w:sz w:val="22"/>
          <w:szCs w:val="22"/>
        </w:rPr>
      </w:pPr>
    </w:p>
    <w:p w:rsidR="00D35D8C" w:rsidRPr="001C1C22" w:rsidRDefault="00D35D8C" w:rsidP="001C1C22">
      <w:pPr>
        <w:pStyle w:val="Default"/>
        <w:spacing w:line="288" w:lineRule="auto"/>
        <w:rPr>
          <w:rFonts w:ascii="MyriadPro" w:hAnsi="MyriadPro"/>
          <w:sz w:val="22"/>
          <w:szCs w:val="22"/>
        </w:rPr>
      </w:pPr>
      <w:r w:rsidRPr="001C1C22">
        <w:rPr>
          <w:rFonts w:ascii="MyriadPro" w:hAnsi="MyriadPro"/>
          <w:sz w:val="22"/>
          <w:szCs w:val="22"/>
        </w:rPr>
        <w:t xml:space="preserve">En lo que respecta al art. 288 de la LCQ, se modificó el inciso 1°, el cual establece que se estará ante un pequeño Concurso o Quiebra cuando: </w:t>
      </w:r>
      <w:r w:rsidRPr="001C1C22">
        <w:rPr>
          <w:rFonts w:ascii="MyriadPro" w:hAnsi="MyriadPro"/>
          <w:i/>
          <w:sz w:val="22"/>
          <w:szCs w:val="22"/>
        </w:rPr>
        <w:t>“…Que el pasivo denunciado no alcance el equivalente a trescientos (300) salarios mínimos vitales y móviles…”</w:t>
      </w:r>
      <w:r w:rsidRPr="001C1C22">
        <w:rPr>
          <w:rFonts w:ascii="MyriadPro" w:hAnsi="MyriadPro"/>
          <w:sz w:val="22"/>
          <w:szCs w:val="22"/>
        </w:rPr>
        <w:br/>
        <w:t xml:space="preserve"> </w:t>
      </w:r>
    </w:p>
    <w:p w:rsidR="00D35D8C" w:rsidRPr="001C1C22" w:rsidRDefault="00D35D8C" w:rsidP="001C1C22">
      <w:pPr>
        <w:pStyle w:val="Default"/>
        <w:spacing w:line="288" w:lineRule="auto"/>
        <w:rPr>
          <w:rFonts w:ascii="MyriadPro" w:hAnsi="MyriadPro"/>
          <w:b/>
          <w:sz w:val="22"/>
          <w:szCs w:val="22"/>
        </w:rPr>
      </w:pPr>
      <w:r w:rsidRPr="001C1C22">
        <w:rPr>
          <w:rFonts w:ascii="MyriadPro" w:hAnsi="MyriadPro"/>
          <w:b/>
          <w:sz w:val="22"/>
          <w:szCs w:val="22"/>
        </w:rPr>
        <w:t>Conclusión</w:t>
      </w:r>
    </w:p>
    <w:p w:rsidR="00D35D8C" w:rsidRPr="001C1C22" w:rsidRDefault="00D35D8C" w:rsidP="001C1C22">
      <w:pPr>
        <w:pStyle w:val="Default"/>
        <w:spacing w:line="288" w:lineRule="auto"/>
        <w:rPr>
          <w:rFonts w:ascii="MyriadPro" w:hAnsi="MyriadPro"/>
          <w:sz w:val="22"/>
          <w:szCs w:val="22"/>
        </w:rPr>
      </w:pPr>
      <w:r w:rsidRPr="001C1C22">
        <w:rPr>
          <w:rFonts w:ascii="MyriadPro" w:hAnsi="MyriadPro"/>
          <w:sz w:val="22"/>
          <w:szCs w:val="22"/>
        </w:rPr>
        <w:t>La adecuación introducida al monto fijado por el art. 32 y 200 de la LCQ, tomando como base el criterio del Salario mínimo, vital y móvil,</w:t>
      </w:r>
      <w:r w:rsidR="00C04E3C" w:rsidRPr="001C1C22">
        <w:rPr>
          <w:rFonts w:ascii="MyriadPro" w:hAnsi="MyriadPro"/>
          <w:sz w:val="22"/>
          <w:szCs w:val="22"/>
        </w:rPr>
        <w:t xml:space="preserve"> debe ser considerado acertado porque el monto del </w:t>
      </w:r>
      <w:r w:rsidR="00C04E3C" w:rsidRPr="001C1C22">
        <w:rPr>
          <w:rFonts w:ascii="MyriadPro" w:hAnsi="MyriadPro"/>
          <w:sz w:val="22"/>
          <w:szCs w:val="22"/>
        </w:rPr>
        <w:lastRenderedPageBreak/>
        <w:t>criterio adoptado debe ser actualizado periódicamente por el Consejo Nacional del Empleo, la Productividad y el Salario, Vital y Móvil.</w:t>
      </w:r>
    </w:p>
    <w:p w:rsidR="00D35D8C" w:rsidRPr="001C1C22" w:rsidRDefault="00C61626" w:rsidP="001C1C22">
      <w:pPr>
        <w:spacing w:after="0" w:line="288" w:lineRule="auto"/>
        <w:jc w:val="both"/>
        <w:rPr>
          <w:rFonts w:ascii="MyriadPro" w:hAnsi="MyriadPro"/>
        </w:rPr>
      </w:pPr>
      <w:r w:rsidRPr="001C1C22">
        <w:rPr>
          <w:rFonts w:ascii="MyriadPro" w:hAnsi="MyriadPro"/>
        </w:rPr>
        <w:t xml:space="preserve"> </w:t>
      </w:r>
      <w:r w:rsidR="00C04E3C" w:rsidRPr="001C1C22">
        <w:rPr>
          <w:rFonts w:ascii="MyriadPro" w:hAnsi="MyriadPro"/>
        </w:rPr>
        <w:t xml:space="preserve">De esa manera, </w:t>
      </w:r>
      <w:r w:rsidR="001C1C22" w:rsidRPr="001C1C22">
        <w:rPr>
          <w:rFonts w:ascii="MyriadPro" w:hAnsi="MyriadPro"/>
        </w:rPr>
        <w:t>se daría cumplimiento a la finalidad del legislador al momento de introducir el instituto en el proceso verificatorio, que es dotar de fondos suficientes al Síndico, para honrar los gastos que le representen para lograr su cometido.</w:t>
      </w:r>
    </w:p>
    <w:p w:rsidR="00AB7E54" w:rsidRPr="001C1C22" w:rsidRDefault="00AB7E54" w:rsidP="001C1C22">
      <w:pPr>
        <w:spacing w:after="0" w:line="288" w:lineRule="auto"/>
        <w:jc w:val="both"/>
        <w:rPr>
          <w:rFonts w:ascii="MyriadPro" w:eastAsia="Times New Roman" w:hAnsi="MyriadPro" w:cs="Times New Roman"/>
          <w:color w:val="000000" w:themeColor="text1"/>
          <w:lang w:val="es-ES" w:eastAsia="es-AR"/>
        </w:rPr>
      </w:pPr>
    </w:p>
    <w:p w:rsidR="00762F14" w:rsidRPr="001C1C22" w:rsidRDefault="00762F14" w:rsidP="00A5714D">
      <w:pPr>
        <w:spacing w:after="0" w:line="288" w:lineRule="auto"/>
        <w:jc w:val="both"/>
        <w:rPr>
          <w:rFonts w:ascii="MyriadPro" w:eastAsia="Times New Roman" w:hAnsi="MyriadPro" w:cs="Times New Roman"/>
          <w:color w:val="000000" w:themeColor="text1"/>
          <w:lang w:eastAsia="es-AR"/>
        </w:rPr>
      </w:pPr>
    </w:p>
    <w:sectPr w:rsidR="00762F14" w:rsidRPr="001C1C22" w:rsidSect="001C1C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654" w:rsidRDefault="008B6654" w:rsidP="002C4D18">
      <w:pPr>
        <w:spacing w:after="0" w:line="240" w:lineRule="auto"/>
      </w:pPr>
      <w:r>
        <w:separator/>
      </w:r>
    </w:p>
  </w:endnote>
  <w:endnote w:type="continuationSeparator" w:id="0">
    <w:p w:rsidR="008B6654" w:rsidRDefault="008B6654" w:rsidP="002C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654" w:rsidRDefault="008B6654" w:rsidP="002C4D18">
      <w:pPr>
        <w:spacing w:after="0" w:line="240" w:lineRule="auto"/>
      </w:pPr>
      <w:r>
        <w:separator/>
      </w:r>
    </w:p>
  </w:footnote>
  <w:footnote w:type="continuationSeparator" w:id="0">
    <w:p w:rsidR="008B6654" w:rsidRDefault="008B6654" w:rsidP="002C4D18">
      <w:pPr>
        <w:spacing w:after="0" w:line="240" w:lineRule="auto"/>
      </w:pPr>
      <w:r>
        <w:continuationSeparator/>
      </w:r>
    </w:p>
  </w:footnote>
  <w:footnote w:id="1">
    <w:p w:rsidR="000204B7" w:rsidRPr="007573DD" w:rsidRDefault="000204B7">
      <w:pPr>
        <w:pStyle w:val="Textonotapie"/>
        <w:rPr>
          <w:rFonts w:ascii="MyriadPro" w:hAnsi="MyriadPro"/>
        </w:rPr>
      </w:pPr>
      <w:r w:rsidRPr="007573DD">
        <w:rPr>
          <w:rStyle w:val="Refdenotaalpie"/>
          <w:rFonts w:ascii="MyriadPro" w:hAnsi="MyriadPro"/>
        </w:rPr>
        <w:footnoteRef/>
      </w:r>
      <w:r w:rsidRPr="007573DD">
        <w:rPr>
          <w:rFonts w:ascii="MyriadPro" w:hAnsi="MyriadPro"/>
        </w:rPr>
        <w:t xml:space="preserve"> </w:t>
      </w:r>
      <w:r w:rsidRPr="007573DD">
        <w:rPr>
          <w:rFonts w:ascii="MyriadPro" w:hAnsi="MyriadPro"/>
          <w:sz w:val="18"/>
          <w:szCs w:val="18"/>
        </w:rPr>
        <w:t>Artí</w:t>
      </w:r>
      <w:r w:rsidR="00C04E3C" w:rsidRPr="007573DD">
        <w:rPr>
          <w:rFonts w:ascii="MyriadPro" w:hAnsi="MyriadPro"/>
          <w:sz w:val="18"/>
          <w:szCs w:val="18"/>
        </w:rPr>
        <w:t>culo 1 de la Resol. 4/2015 del C</w:t>
      </w:r>
      <w:r w:rsidRPr="007573DD">
        <w:rPr>
          <w:rFonts w:ascii="MyriadPro" w:hAnsi="MyriadPro"/>
          <w:sz w:val="18"/>
          <w:szCs w:val="18"/>
        </w:rPr>
        <w:t>onsejo Nacional del Empleo, la Productividad y el Salario, Vital y Móvil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4973"/>
    <w:multiLevelType w:val="hybridMultilevel"/>
    <w:tmpl w:val="D4FA39AC"/>
    <w:lvl w:ilvl="0" w:tplc="A636F140">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4B607A"/>
    <w:multiLevelType w:val="hybridMultilevel"/>
    <w:tmpl w:val="5A50323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11B37C2"/>
    <w:multiLevelType w:val="hybridMultilevel"/>
    <w:tmpl w:val="9E3846E2"/>
    <w:lvl w:ilvl="0" w:tplc="2C0A0001">
      <w:start w:val="1"/>
      <w:numFmt w:val="bullet"/>
      <w:lvlText w:val=""/>
      <w:lvlJc w:val="left"/>
      <w:pPr>
        <w:ind w:left="785" w:hanging="360"/>
      </w:pPr>
      <w:rPr>
        <w:rFonts w:ascii="Symbol" w:hAnsi="Symbol" w:hint="default"/>
      </w:rPr>
    </w:lvl>
    <w:lvl w:ilvl="1" w:tplc="2C0A0003" w:tentative="1">
      <w:start w:val="1"/>
      <w:numFmt w:val="bullet"/>
      <w:lvlText w:val="o"/>
      <w:lvlJc w:val="left"/>
      <w:pPr>
        <w:ind w:left="1505" w:hanging="360"/>
      </w:pPr>
      <w:rPr>
        <w:rFonts w:ascii="Courier New" w:hAnsi="Courier New" w:cs="Courier New" w:hint="default"/>
      </w:rPr>
    </w:lvl>
    <w:lvl w:ilvl="2" w:tplc="2C0A0005" w:tentative="1">
      <w:start w:val="1"/>
      <w:numFmt w:val="bullet"/>
      <w:lvlText w:val=""/>
      <w:lvlJc w:val="left"/>
      <w:pPr>
        <w:ind w:left="2225" w:hanging="360"/>
      </w:pPr>
      <w:rPr>
        <w:rFonts w:ascii="Wingdings" w:hAnsi="Wingdings" w:hint="default"/>
      </w:rPr>
    </w:lvl>
    <w:lvl w:ilvl="3" w:tplc="2C0A0001" w:tentative="1">
      <w:start w:val="1"/>
      <w:numFmt w:val="bullet"/>
      <w:lvlText w:val=""/>
      <w:lvlJc w:val="left"/>
      <w:pPr>
        <w:ind w:left="2945" w:hanging="360"/>
      </w:pPr>
      <w:rPr>
        <w:rFonts w:ascii="Symbol" w:hAnsi="Symbol" w:hint="default"/>
      </w:rPr>
    </w:lvl>
    <w:lvl w:ilvl="4" w:tplc="2C0A0003" w:tentative="1">
      <w:start w:val="1"/>
      <w:numFmt w:val="bullet"/>
      <w:lvlText w:val="o"/>
      <w:lvlJc w:val="left"/>
      <w:pPr>
        <w:ind w:left="3665" w:hanging="360"/>
      </w:pPr>
      <w:rPr>
        <w:rFonts w:ascii="Courier New" w:hAnsi="Courier New" w:cs="Courier New" w:hint="default"/>
      </w:rPr>
    </w:lvl>
    <w:lvl w:ilvl="5" w:tplc="2C0A0005" w:tentative="1">
      <w:start w:val="1"/>
      <w:numFmt w:val="bullet"/>
      <w:lvlText w:val=""/>
      <w:lvlJc w:val="left"/>
      <w:pPr>
        <w:ind w:left="4385" w:hanging="360"/>
      </w:pPr>
      <w:rPr>
        <w:rFonts w:ascii="Wingdings" w:hAnsi="Wingdings" w:hint="default"/>
      </w:rPr>
    </w:lvl>
    <w:lvl w:ilvl="6" w:tplc="2C0A0001" w:tentative="1">
      <w:start w:val="1"/>
      <w:numFmt w:val="bullet"/>
      <w:lvlText w:val=""/>
      <w:lvlJc w:val="left"/>
      <w:pPr>
        <w:ind w:left="5105" w:hanging="360"/>
      </w:pPr>
      <w:rPr>
        <w:rFonts w:ascii="Symbol" w:hAnsi="Symbol" w:hint="default"/>
      </w:rPr>
    </w:lvl>
    <w:lvl w:ilvl="7" w:tplc="2C0A0003" w:tentative="1">
      <w:start w:val="1"/>
      <w:numFmt w:val="bullet"/>
      <w:lvlText w:val="o"/>
      <w:lvlJc w:val="left"/>
      <w:pPr>
        <w:ind w:left="5825" w:hanging="360"/>
      </w:pPr>
      <w:rPr>
        <w:rFonts w:ascii="Courier New" w:hAnsi="Courier New" w:cs="Courier New" w:hint="default"/>
      </w:rPr>
    </w:lvl>
    <w:lvl w:ilvl="8" w:tplc="2C0A0005" w:tentative="1">
      <w:start w:val="1"/>
      <w:numFmt w:val="bullet"/>
      <w:lvlText w:val=""/>
      <w:lvlJc w:val="left"/>
      <w:pPr>
        <w:ind w:left="6545" w:hanging="360"/>
      </w:pPr>
      <w:rPr>
        <w:rFonts w:ascii="Wingdings" w:hAnsi="Wingdings" w:hint="default"/>
      </w:rPr>
    </w:lvl>
  </w:abstractNum>
  <w:abstractNum w:abstractNumId="3">
    <w:nsid w:val="54AD320A"/>
    <w:multiLevelType w:val="multilevel"/>
    <w:tmpl w:val="E97E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163FA"/>
    <w:multiLevelType w:val="hybridMultilevel"/>
    <w:tmpl w:val="5A0004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38"/>
    <w:rsid w:val="000204B7"/>
    <w:rsid w:val="00037BC8"/>
    <w:rsid w:val="000616CE"/>
    <w:rsid w:val="00063ADA"/>
    <w:rsid w:val="000A6101"/>
    <w:rsid w:val="000D6535"/>
    <w:rsid w:val="000F4844"/>
    <w:rsid w:val="00114C46"/>
    <w:rsid w:val="001264F1"/>
    <w:rsid w:val="001C1C22"/>
    <w:rsid w:val="001C4EAC"/>
    <w:rsid w:val="001C7ACA"/>
    <w:rsid w:val="001E69EB"/>
    <w:rsid w:val="001F5B1B"/>
    <w:rsid w:val="002300F2"/>
    <w:rsid w:val="00231829"/>
    <w:rsid w:val="00237344"/>
    <w:rsid w:val="00253B9A"/>
    <w:rsid w:val="002A7813"/>
    <w:rsid w:val="002C1984"/>
    <w:rsid w:val="002C4D18"/>
    <w:rsid w:val="002E00A2"/>
    <w:rsid w:val="003554C6"/>
    <w:rsid w:val="00364A17"/>
    <w:rsid w:val="00383938"/>
    <w:rsid w:val="003B25C2"/>
    <w:rsid w:val="003F4D13"/>
    <w:rsid w:val="004467C3"/>
    <w:rsid w:val="00491B1C"/>
    <w:rsid w:val="004B4094"/>
    <w:rsid w:val="00514D9D"/>
    <w:rsid w:val="00526132"/>
    <w:rsid w:val="00560279"/>
    <w:rsid w:val="005651A7"/>
    <w:rsid w:val="00566D7F"/>
    <w:rsid w:val="0058022C"/>
    <w:rsid w:val="005B4B62"/>
    <w:rsid w:val="005F04B5"/>
    <w:rsid w:val="005F27B2"/>
    <w:rsid w:val="006052CF"/>
    <w:rsid w:val="00611EAD"/>
    <w:rsid w:val="006136E8"/>
    <w:rsid w:val="00632987"/>
    <w:rsid w:val="0066187C"/>
    <w:rsid w:val="006712CA"/>
    <w:rsid w:val="00686ECD"/>
    <w:rsid w:val="006A6235"/>
    <w:rsid w:val="006D3113"/>
    <w:rsid w:val="007032FF"/>
    <w:rsid w:val="00723E1C"/>
    <w:rsid w:val="00727B36"/>
    <w:rsid w:val="007573DD"/>
    <w:rsid w:val="00762F14"/>
    <w:rsid w:val="00770A88"/>
    <w:rsid w:val="00791E23"/>
    <w:rsid w:val="007C20ED"/>
    <w:rsid w:val="007D7839"/>
    <w:rsid w:val="00804390"/>
    <w:rsid w:val="00806B04"/>
    <w:rsid w:val="00825E2B"/>
    <w:rsid w:val="008275DD"/>
    <w:rsid w:val="00872800"/>
    <w:rsid w:val="008B6654"/>
    <w:rsid w:val="008C1C82"/>
    <w:rsid w:val="008D5547"/>
    <w:rsid w:val="0090230B"/>
    <w:rsid w:val="0090741A"/>
    <w:rsid w:val="00915C9C"/>
    <w:rsid w:val="009358B5"/>
    <w:rsid w:val="0094750D"/>
    <w:rsid w:val="009B5F58"/>
    <w:rsid w:val="00A2570F"/>
    <w:rsid w:val="00A5714D"/>
    <w:rsid w:val="00A641C6"/>
    <w:rsid w:val="00AB07F7"/>
    <w:rsid w:val="00AB407C"/>
    <w:rsid w:val="00AB68AF"/>
    <w:rsid w:val="00AB7E54"/>
    <w:rsid w:val="00AC7714"/>
    <w:rsid w:val="00B1579E"/>
    <w:rsid w:val="00B23A0F"/>
    <w:rsid w:val="00BA1709"/>
    <w:rsid w:val="00BE1BFE"/>
    <w:rsid w:val="00BF3548"/>
    <w:rsid w:val="00C04E3C"/>
    <w:rsid w:val="00C22DD1"/>
    <w:rsid w:val="00C44052"/>
    <w:rsid w:val="00C45434"/>
    <w:rsid w:val="00C57682"/>
    <w:rsid w:val="00C61626"/>
    <w:rsid w:val="00C762B2"/>
    <w:rsid w:val="00C807BD"/>
    <w:rsid w:val="00CB10BD"/>
    <w:rsid w:val="00CC4D2F"/>
    <w:rsid w:val="00CC7148"/>
    <w:rsid w:val="00D31E3C"/>
    <w:rsid w:val="00D35D8C"/>
    <w:rsid w:val="00D445F5"/>
    <w:rsid w:val="00D4608C"/>
    <w:rsid w:val="00D564D7"/>
    <w:rsid w:val="00D7463C"/>
    <w:rsid w:val="00D81068"/>
    <w:rsid w:val="00DB0836"/>
    <w:rsid w:val="00E00D9B"/>
    <w:rsid w:val="00EB229F"/>
    <w:rsid w:val="00F11C33"/>
    <w:rsid w:val="00F2703B"/>
    <w:rsid w:val="00F40D56"/>
    <w:rsid w:val="00FA212D"/>
    <w:rsid w:val="00FF67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1A442-367D-4079-8B44-D0F6CDD4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83938"/>
    <w:pPr>
      <w:spacing w:before="300" w:after="225" w:line="240" w:lineRule="auto"/>
      <w:outlineLvl w:val="2"/>
    </w:pPr>
    <w:rPr>
      <w:rFonts w:ascii="Arial" w:eastAsia="Times New Roman" w:hAnsi="Arial" w:cs="Arial"/>
      <w:b/>
      <w:bCs/>
      <w:color w:val="444444"/>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83938"/>
    <w:rPr>
      <w:rFonts w:ascii="Arial" w:eastAsia="Times New Roman" w:hAnsi="Arial" w:cs="Arial"/>
      <w:b/>
      <w:bCs/>
      <w:color w:val="444444"/>
      <w:sz w:val="24"/>
      <w:szCs w:val="24"/>
      <w:lang w:eastAsia="es-AR"/>
    </w:rPr>
  </w:style>
  <w:style w:type="character" w:styleId="Textoennegrita">
    <w:name w:val="Strong"/>
    <w:basedOn w:val="Fuentedeprrafopredeter"/>
    <w:uiPriority w:val="22"/>
    <w:qFormat/>
    <w:rsid w:val="00383938"/>
    <w:rPr>
      <w:b/>
      <w:bCs/>
    </w:rPr>
  </w:style>
  <w:style w:type="paragraph" w:styleId="NormalWeb">
    <w:name w:val="Normal (Web)"/>
    <w:basedOn w:val="Normal"/>
    <w:uiPriority w:val="99"/>
    <w:unhideWhenUsed/>
    <w:rsid w:val="00383938"/>
    <w:pPr>
      <w:spacing w:before="150" w:after="225" w:line="360" w:lineRule="atLeast"/>
    </w:pPr>
    <w:rPr>
      <w:rFonts w:ascii="Times New Roman" w:eastAsia="Times New Roman" w:hAnsi="Times New Roman" w:cs="Times New Roman"/>
      <w:sz w:val="24"/>
      <w:szCs w:val="24"/>
      <w:lang w:eastAsia="es-AR"/>
    </w:rPr>
  </w:style>
  <w:style w:type="paragraph" w:customStyle="1" w:styleId="bajada">
    <w:name w:val="bajada"/>
    <w:basedOn w:val="Normal"/>
    <w:rsid w:val="00383938"/>
    <w:pPr>
      <w:spacing w:before="150" w:after="225" w:line="360" w:lineRule="atLeast"/>
    </w:pPr>
    <w:rPr>
      <w:rFonts w:ascii="Times New Roman" w:eastAsia="Times New Roman" w:hAnsi="Times New Roman" w:cs="Times New Roman"/>
      <w:i/>
      <w:iCs/>
      <w:color w:val="444444"/>
      <w:sz w:val="24"/>
      <w:szCs w:val="24"/>
      <w:lang w:eastAsia="es-AR"/>
    </w:rPr>
  </w:style>
  <w:style w:type="paragraph" w:styleId="Textodeglobo">
    <w:name w:val="Balloon Text"/>
    <w:basedOn w:val="Normal"/>
    <w:link w:val="TextodegloboCar"/>
    <w:uiPriority w:val="99"/>
    <w:semiHidden/>
    <w:unhideWhenUsed/>
    <w:rsid w:val="003839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3938"/>
    <w:rPr>
      <w:rFonts w:ascii="Tahoma" w:hAnsi="Tahoma" w:cs="Tahoma"/>
      <w:sz w:val="16"/>
      <w:szCs w:val="16"/>
    </w:rPr>
  </w:style>
  <w:style w:type="paragraph" w:styleId="Prrafodelista">
    <w:name w:val="List Paragraph"/>
    <w:basedOn w:val="Normal"/>
    <w:uiPriority w:val="34"/>
    <w:qFormat/>
    <w:rsid w:val="00D564D7"/>
    <w:pPr>
      <w:ind w:left="720"/>
      <w:contextualSpacing/>
    </w:pPr>
  </w:style>
  <w:style w:type="paragraph" w:styleId="Textonotapie">
    <w:name w:val="footnote text"/>
    <w:basedOn w:val="Normal"/>
    <w:link w:val="TextonotapieCar"/>
    <w:uiPriority w:val="99"/>
    <w:semiHidden/>
    <w:unhideWhenUsed/>
    <w:rsid w:val="002C4D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4D18"/>
    <w:rPr>
      <w:sz w:val="20"/>
      <w:szCs w:val="20"/>
    </w:rPr>
  </w:style>
  <w:style w:type="character" w:styleId="Refdenotaalpie">
    <w:name w:val="footnote reference"/>
    <w:basedOn w:val="Fuentedeprrafopredeter"/>
    <w:uiPriority w:val="99"/>
    <w:semiHidden/>
    <w:unhideWhenUsed/>
    <w:rsid w:val="002C4D18"/>
    <w:rPr>
      <w:vertAlign w:val="superscript"/>
    </w:rPr>
  </w:style>
  <w:style w:type="paragraph" w:customStyle="1" w:styleId="Default">
    <w:name w:val="Default"/>
    <w:rsid w:val="005F27B2"/>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semiHidden/>
    <w:unhideWhenUsed/>
    <w:rsid w:val="00CC4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6072">
      <w:bodyDiv w:val="1"/>
      <w:marLeft w:val="0"/>
      <w:marRight w:val="0"/>
      <w:marTop w:val="0"/>
      <w:marBottom w:val="0"/>
      <w:divBdr>
        <w:top w:val="none" w:sz="0" w:space="0" w:color="auto"/>
        <w:left w:val="none" w:sz="0" w:space="0" w:color="auto"/>
        <w:bottom w:val="none" w:sz="0" w:space="0" w:color="auto"/>
        <w:right w:val="none" w:sz="0" w:space="0" w:color="auto"/>
      </w:divBdr>
    </w:div>
    <w:div w:id="393241847">
      <w:bodyDiv w:val="1"/>
      <w:marLeft w:val="0"/>
      <w:marRight w:val="0"/>
      <w:marTop w:val="0"/>
      <w:marBottom w:val="0"/>
      <w:divBdr>
        <w:top w:val="none" w:sz="0" w:space="0" w:color="auto"/>
        <w:left w:val="none" w:sz="0" w:space="0" w:color="auto"/>
        <w:bottom w:val="none" w:sz="0" w:space="0" w:color="auto"/>
        <w:right w:val="none" w:sz="0" w:space="0" w:color="auto"/>
      </w:divBdr>
      <w:divsChild>
        <w:div w:id="321007486">
          <w:marLeft w:val="0"/>
          <w:marRight w:val="0"/>
          <w:marTop w:val="0"/>
          <w:marBottom w:val="0"/>
          <w:divBdr>
            <w:top w:val="none" w:sz="0" w:space="0" w:color="auto"/>
            <w:left w:val="none" w:sz="0" w:space="0" w:color="auto"/>
            <w:bottom w:val="none" w:sz="0" w:space="0" w:color="auto"/>
            <w:right w:val="none" w:sz="0" w:space="0" w:color="auto"/>
          </w:divBdr>
          <w:divsChild>
            <w:div w:id="30039931">
              <w:marLeft w:val="0"/>
              <w:marRight w:val="0"/>
              <w:marTop w:val="0"/>
              <w:marBottom w:val="0"/>
              <w:divBdr>
                <w:top w:val="none" w:sz="0" w:space="0" w:color="auto"/>
                <w:left w:val="none" w:sz="0" w:space="0" w:color="auto"/>
                <w:bottom w:val="none" w:sz="0" w:space="0" w:color="auto"/>
                <w:right w:val="none" w:sz="0" w:space="0" w:color="auto"/>
              </w:divBdr>
              <w:divsChild>
                <w:div w:id="282226429">
                  <w:marLeft w:val="0"/>
                  <w:marRight w:val="0"/>
                  <w:marTop w:val="0"/>
                  <w:marBottom w:val="0"/>
                  <w:divBdr>
                    <w:top w:val="none" w:sz="0" w:space="0" w:color="auto"/>
                    <w:left w:val="none" w:sz="0" w:space="0" w:color="auto"/>
                    <w:bottom w:val="none" w:sz="0" w:space="0" w:color="auto"/>
                    <w:right w:val="none" w:sz="0" w:space="0" w:color="auto"/>
                  </w:divBdr>
                  <w:divsChild>
                    <w:div w:id="1064528056">
                      <w:marLeft w:val="0"/>
                      <w:marRight w:val="0"/>
                      <w:marTop w:val="0"/>
                      <w:marBottom w:val="0"/>
                      <w:divBdr>
                        <w:top w:val="none" w:sz="0" w:space="0" w:color="auto"/>
                        <w:left w:val="none" w:sz="0" w:space="0" w:color="auto"/>
                        <w:bottom w:val="none" w:sz="0" w:space="0" w:color="auto"/>
                        <w:right w:val="none" w:sz="0" w:space="0" w:color="auto"/>
                      </w:divBdr>
                      <w:divsChild>
                        <w:div w:id="60718881">
                          <w:marLeft w:val="0"/>
                          <w:marRight w:val="0"/>
                          <w:marTop w:val="0"/>
                          <w:marBottom w:val="0"/>
                          <w:divBdr>
                            <w:top w:val="none" w:sz="0" w:space="0" w:color="auto"/>
                            <w:left w:val="none" w:sz="0" w:space="0" w:color="auto"/>
                            <w:bottom w:val="none" w:sz="0" w:space="0" w:color="auto"/>
                            <w:right w:val="none" w:sz="0" w:space="0" w:color="auto"/>
                          </w:divBdr>
                          <w:divsChild>
                            <w:div w:id="1278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06723">
      <w:bodyDiv w:val="1"/>
      <w:marLeft w:val="0"/>
      <w:marRight w:val="0"/>
      <w:marTop w:val="0"/>
      <w:marBottom w:val="0"/>
      <w:divBdr>
        <w:top w:val="none" w:sz="0" w:space="0" w:color="auto"/>
        <w:left w:val="none" w:sz="0" w:space="0" w:color="auto"/>
        <w:bottom w:val="none" w:sz="0" w:space="0" w:color="auto"/>
        <w:right w:val="none" w:sz="0" w:space="0" w:color="auto"/>
      </w:divBdr>
    </w:div>
    <w:div w:id="824510414">
      <w:bodyDiv w:val="1"/>
      <w:marLeft w:val="0"/>
      <w:marRight w:val="0"/>
      <w:marTop w:val="0"/>
      <w:marBottom w:val="0"/>
      <w:divBdr>
        <w:top w:val="none" w:sz="0" w:space="0" w:color="auto"/>
        <w:left w:val="none" w:sz="0" w:space="0" w:color="auto"/>
        <w:bottom w:val="none" w:sz="0" w:space="0" w:color="auto"/>
        <w:right w:val="none" w:sz="0" w:space="0" w:color="auto"/>
      </w:divBdr>
    </w:div>
    <w:div w:id="1066220337">
      <w:bodyDiv w:val="1"/>
      <w:marLeft w:val="0"/>
      <w:marRight w:val="0"/>
      <w:marTop w:val="0"/>
      <w:marBottom w:val="0"/>
      <w:divBdr>
        <w:top w:val="none" w:sz="0" w:space="0" w:color="auto"/>
        <w:left w:val="none" w:sz="0" w:space="0" w:color="auto"/>
        <w:bottom w:val="none" w:sz="0" w:space="0" w:color="auto"/>
        <w:right w:val="none" w:sz="0" w:space="0" w:color="auto"/>
      </w:divBdr>
    </w:div>
    <w:div w:id="1874607158">
      <w:bodyDiv w:val="1"/>
      <w:marLeft w:val="0"/>
      <w:marRight w:val="0"/>
      <w:marTop w:val="100"/>
      <w:marBottom w:val="100"/>
      <w:divBdr>
        <w:top w:val="none" w:sz="0" w:space="0" w:color="auto"/>
        <w:left w:val="none" w:sz="0" w:space="0" w:color="auto"/>
        <w:bottom w:val="none" w:sz="0" w:space="0" w:color="auto"/>
        <w:right w:val="none" w:sz="0" w:space="0" w:color="auto"/>
      </w:divBdr>
      <w:divsChild>
        <w:div w:id="781531196">
          <w:marLeft w:val="0"/>
          <w:marRight w:val="0"/>
          <w:marTop w:val="0"/>
          <w:marBottom w:val="0"/>
          <w:divBdr>
            <w:top w:val="none" w:sz="0" w:space="0" w:color="auto"/>
            <w:left w:val="none" w:sz="0" w:space="0" w:color="auto"/>
            <w:bottom w:val="none" w:sz="0" w:space="0" w:color="auto"/>
            <w:right w:val="none" w:sz="0" w:space="0" w:color="auto"/>
          </w:divBdr>
          <w:divsChild>
            <w:div w:id="599726970">
              <w:marLeft w:val="0"/>
              <w:marRight w:val="0"/>
              <w:marTop w:val="0"/>
              <w:marBottom w:val="0"/>
              <w:divBdr>
                <w:top w:val="none" w:sz="0" w:space="0" w:color="auto"/>
                <w:left w:val="none" w:sz="0" w:space="0" w:color="auto"/>
                <w:bottom w:val="none" w:sz="0" w:space="0" w:color="auto"/>
                <w:right w:val="none" w:sz="0" w:space="0" w:color="auto"/>
              </w:divBdr>
              <w:divsChild>
                <w:div w:id="46092025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F05C-A672-40F1-A899-05FD17F8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Banco de la Nación Argentina</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ABATE MORENO,IGNACIO</dc:creator>
  <cp:lastModifiedBy>ABATE MORENO,IGNACIO</cp:lastModifiedBy>
  <cp:revision>5</cp:revision>
  <cp:lastPrinted>2015-08-31T16:35:00Z</cp:lastPrinted>
  <dcterms:created xsi:type="dcterms:W3CDTF">2015-09-08T19:51:00Z</dcterms:created>
  <dcterms:modified xsi:type="dcterms:W3CDTF">2015-09-08T19:52:00Z</dcterms:modified>
</cp:coreProperties>
</file>