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6350C" w14:textId="77777777" w:rsidR="00DB0087" w:rsidRDefault="00DB0087" w:rsidP="00DB0087">
      <w:pPr>
        <w:spacing w:after="120"/>
        <w:jc w:val="both"/>
      </w:pPr>
      <w:r>
        <w:rPr>
          <w:b/>
          <w:bCs/>
          <w:sz w:val="32"/>
          <w:szCs w:val="32"/>
        </w:rPr>
        <w:t>El Fondo de Asistencia Laboral de la ley 27.802</w:t>
      </w:r>
    </w:p>
    <w:p w14:paraId="0D8DCA0E" w14:textId="77777777" w:rsidR="00DB0087" w:rsidRDefault="00DB0087" w:rsidP="00DB0087">
      <w:pPr>
        <w:spacing w:after="360"/>
        <w:jc w:val="both"/>
      </w:pPr>
      <w:r>
        <w:rPr>
          <w:sz w:val="26"/>
          <w:szCs w:val="26"/>
        </w:rPr>
        <w:t>Utilidad, depreciación, magnitud y paradojas</w:t>
      </w:r>
    </w:p>
    <w:p w14:paraId="138D3383" w14:textId="77777777" w:rsidR="00DB0087" w:rsidRDefault="00DB0087" w:rsidP="00DB0087">
      <w:pPr>
        <w:pStyle w:val="Ttulo1"/>
        <w:keepNext/>
        <w:spacing w:before="360" w:after="180"/>
      </w:pPr>
      <w:r>
        <w:t>I. Introducción: del fondo de cese al Fondo de Asistencia Laboral.</w:t>
      </w:r>
    </w:p>
    <w:p w14:paraId="2AFDD373" w14:textId="18FF254A" w:rsidR="00DB0087" w:rsidRDefault="00DB0087" w:rsidP="00DB0087">
      <w:pPr>
        <w:spacing w:after="120" w:line="360" w:lineRule="auto"/>
        <w:ind w:firstLine="567"/>
        <w:jc w:val="both"/>
      </w:pPr>
      <w:r>
        <w:t>El 1</w:t>
      </w:r>
      <w:r>
        <w:t>ro.</w:t>
      </w:r>
      <w:r>
        <w:t xml:space="preserve"> de octubre de 2026 se publicó en el Boletín Oficial la Resolución General 5907/2026 de la Agencia de Recaudación y Control Aduanero (ARCA), que reglamentó la declaración y el pago de las contribuciones al Fondo de Asistencia Laboral creado por la ley 27.802</w:t>
      </w:r>
      <w:r>
        <w:rPr>
          <w:rStyle w:val="Refdenotaalpie"/>
        </w:rPr>
        <w:footnoteReference w:id="1"/>
      </w:r>
      <w:r>
        <w:t>. Con ella se completa el andamiaje normativo necesario para que el régimen comience a operar el 1</w:t>
      </w:r>
      <w:r>
        <w:t>ro.</w:t>
      </w:r>
      <w:r>
        <w:t xml:space="preserve"> de noviembre de 2026. La norma dispone que la contribución, del 2,5% mensual para las Micro, Pequeñas y Medianas Empresas y las entidades sin fines de lucro que califiquen como tales, y del 1% para el resto de los empleadores privados, se calcule sobre las remuneraciones que sirven de base al Sistema Integrado Previsional Argentino (SIPA), se declare en el formulario 931 y se ingrese mediante volante electrónico de pago en los mismos vencimientos que los demás recursos de la seguridad social, siendo el propio sistema del organismo el que calcula el importe. Antes de presentar la declaración jurada correspondiente a noviembre de 2026, todos los empleadores deberán ingresar al servicio "Simplificación Registral" para declarar su condición de empleador del sector privado o público y obtener el identificador de su cuenta, denominado ID FAL.</w:t>
      </w:r>
    </w:p>
    <w:p w14:paraId="66A5B8B8" w14:textId="77777777" w:rsidR="00DB0087" w:rsidRDefault="00DB0087" w:rsidP="00DB0087">
      <w:pPr>
        <w:spacing w:after="120" w:line="360" w:lineRule="auto"/>
        <w:ind w:firstLine="567"/>
        <w:jc w:val="both"/>
      </w:pPr>
      <w:r>
        <w:t>Hay, sin embargo, un aspecto de esa reglamentación que merece subrayarse desde el inicio, porque condensa buena parte de lo que se desarrollará en este trabajo. La contribución al FAL no se suma a las cargas sociales existentes, sino que se detrae de las contribuciones patronales con destino a la seguridad social, de modo que la carga total del empleador permanece inalterada en el 20,40% o en el 18%, según el caso. Es el propio organismo recaudador el que confirma, así, que el fondo no lo paga el empleador, sino el sistema de seguridad social.</w:t>
      </w:r>
    </w:p>
    <w:p w14:paraId="7EAC51CB" w14:textId="7C2067ED" w:rsidR="00DB0087" w:rsidRDefault="00DB0087" w:rsidP="00DB0087">
      <w:pPr>
        <w:spacing w:after="120" w:line="360" w:lineRule="auto"/>
        <w:ind w:firstLine="567"/>
        <w:jc w:val="both"/>
      </w:pPr>
      <w:r>
        <w:t xml:space="preserve">Hace poco más de un año sostuve que el fondo de cese laboral habilitado por el art. 96 de la ley 27.742, y reglamentado por el decreto 847/2024 y la resolución general CNV 1071/2025, reproducía bajo ropaje de modernización la lógica del seguro </w:t>
      </w:r>
      <w:proofErr w:type="spellStart"/>
      <w:r>
        <w:t>bismarckiano</w:t>
      </w:r>
      <w:proofErr w:type="spellEnd"/>
      <w:r>
        <w:t xml:space="preserve"> del siglo XIX</w:t>
      </w:r>
      <w:r>
        <w:t>, que consistía en</w:t>
      </w:r>
      <w:r>
        <w:t xml:space="preserve"> aportes masivos para beneficios minoritarios, con fondos cautivos cuyo principal beneficiario terminaba siendo el intermediario financiero antes que </w:t>
      </w:r>
      <w:r>
        <w:lastRenderedPageBreak/>
        <w:t>el trabajador</w:t>
      </w:r>
      <w:r>
        <w:rPr>
          <w:rStyle w:val="Refdenotaalpie"/>
        </w:rPr>
        <w:footnoteReference w:id="2"/>
      </w:r>
      <w:r>
        <w:t>. Entre las objeciones formuladas en aquella oportunidad señalé que los modelos extranjeros invocados para justificarlo habían sido instituidos por ley y no librados a la negociación colectiva, y que la delegación en convenios sectoriales fragmentaba la protección contra el despido arbitrario en desmedro de la igualdad ante la ley.</w:t>
      </w:r>
    </w:p>
    <w:p w14:paraId="33CAC89D" w14:textId="77777777" w:rsidR="00DB0087" w:rsidRDefault="00DB0087" w:rsidP="00DB0087">
      <w:pPr>
        <w:spacing w:after="120" w:line="360" w:lineRule="auto"/>
        <w:ind w:firstLine="567"/>
        <w:jc w:val="both"/>
      </w:pPr>
      <w:r>
        <w:t>La ley 27.802, denominada de Modernización Laboral, parece haber tomado nota de esa objeción. Su Título II crea los Fondos de Asistencia Laboral (en adelante, FAL) por vía legislativa directa, con alícuotas fijadas por el Congreso, de aplicación general a los empleadores del sector privado y sin intervención sindical en su constitución. Y, sobre todo, declara de manera expresa que el régimen "no modifica, sustituye, ni altera el régimen indemnizatorio" (art. 58), de modo que el trabajador conserva íntegro su crédito contra el empleador, con prescindencia de lo que ocurra en la cuenta del fondo.</w:t>
      </w:r>
    </w:p>
    <w:p w14:paraId="057F1039" w14:textId="77777777" w:rsidR="00DB0087" w:rsidRDefault="00DB0087" w:rsidP="00DB0087">
      <w:pPr>
        <w:spacing w:after="120" w:line="360" w:lineRule="auto"/>
        <w:ind w:firstLine="567"/>
        <w:jc w:val="both"/>
      </w:pPr>
      <w:r>
        <w:t xml:space="preserve">Podría pensarse, entonces, que las críticas dirigidas al fondo de cese han perdido objeto, pero no es así, el problema no </w:t>
      </w:r>
      <w:proofErr w:type="gramStart"/>
      <w:r>
        <w:t>desapareció</w:t>
      </w:r>
      <w:proofErr w:type="gramEnd"/>
      <w:r>
        <w:t xml:space="preserve"> sino que cambió de lugar, porque si en el fondo de cese el riesgo recaía sobre el trabajador, en el FAL el costo recae sobre el sistema de seguridad social, que financia con sus propias contribuciones una cuenta de ahorro corporativo cuyo remanente, llegado el caso, regresa al empleador. A ello se suma una novedad que excede el derecho del trabajo y que constituye, a mi juicio, el aspecto más llamativo del régimen y es la Resolución UIF 109/2026, que exceptúa los ingresos de los FAL de las medidas de prevención del lavado de activos, en el mismo año en que la Comisión Nacional de Valores endureció esas mismas medidas para los proveedores de servicios de activos virtuales.</w:t>
      </w:r>
    </w:p>
    <w:p w14:paraId="769DFE5F" w14:textId="77777777" w:rsidR="00DB0087" w:rsidRDefault="00DB0087" w:rsidP="00DB0087">
      <w:pPr>
        <w:spacing w:after="120" w:line="360" w:lineRule="auto"/>
        <w:ind w:firstLine="567"/>
        <w:jc w:val="both"/>
      </w:pPr>
      <w:r>
        <w:t xml:space="preserve">El presente trabajo se propone, en consecuencia, describir sumariamente la arquitectura del FAL, preguntándose si tendrá alguna utilidad real en la Argentina, examinar el problema de la depreciación de los recursos acumulados y dimensionar el volumen de fondos involucrados analizando críticamente la exención antilavado, contrastándola con el régimen al que se encuentran sometidos los proveedores de servicios de activos virtuales y los valores negociables </w:t>
      </w:r>
      <w:proofErr w:type="spellStart"/>
      <w:r>
        <w:t>tokenizados</w:t>
      </w:r>
      <w:proofErr w:type="spellEnd"/>
      <w:r>
        <w:t>.</w:t>
      </w:r>
    </w:p>
    <w:p w14:paraId="26346E09" w14:textId="06B98E93" w:rsidR="00DB0087" w:rsidRDefault="00DB0087" w:rsidP="00DB0087">
      <w:pPr>
        <w:spacing w:after="120" w:line="360" w:lineRule="auto"/>
        <w:ind w:firstLine="567"/>
        <w:jc w:val="both"/>
      </w:pPr>
      <w:r>
        <w:t xml:space="preserve">Corresponde una advertencia metodológica. Al momento de escribir estas líneas el régimen no ha comenzado a operar, puesto que su </w:t>
      </w:r>
      <w:proofErr w:type="gramStart"/>
      <w:r>
        <w:t>entrada en vigencia</w:t>
      </w:r>
      <w:proofErr w:type="gramEnd"/>
      <w:r>
        <w:t xml:space="preserve"> fue prorrogada al 1° de noviembre de 2026, y si bien con la Resolución General ARCA 5907/2026 quedó </w:t>
      </w:r>
      <w:r>
        <w:t xml:space="preserve">casi </w:t>
      </w:r>
      <w:r>
        <w:lastRenderedPageBreak/>
        <w:t>completo su marco reglamentario, todavía no existe experiencia alguna sobre su aplicación. Las conclusiones que siguen se formulan, por tanto, sobre el diseño normativo y no sobre su funcionamiento efectivo, el que podrá confirmarlas o desmentirlas.</w:t>
      </w:r>
    </w:p>
    <w:p w14:paraId="056BF562" w14:textId="1AC56059" w:rsidR="008C3B42" w:rsidRDefault="0078339C">
      <w:pPr>
        <w:pStyle w:val="Ttulo1"/>
        <w:keepNext/>
        <w:spacing w:before="360" w:after="180"/>
      </w:pPr>
      <w:r>
        <w:t>II. El régimen del Fondo de Asistencia Laboral</w:t>
      </w:r>
      <w:r w:rsidR="00981D96">
        <w:t>.</w:t>
      </w:r>
    </w:p>
    <w:p w14:paraId="056BF563" w14:textId="583C4239" w:rsidR="008C3B42" w:rsidRPr="00981D96" w:rsidRDefault="0078339C">
      <w:pPr>
        <w:pStyle w:val="Ttulo2"/>
        <w:keepNext/>
        <w:spacing w:before="240" w:after="120"/>
        <w:rPr>
          <w:b/>
          <w:bCs/>
          <w:i w:val="0"/>
          <w:iCs w:val="0"/>
        </w:rPr>
      </w:pPr>
      <w:r w:rsidRPr="00981D96">
        <w:rPr>
          <w:b/>
          <w:bCs/>
          <w:i w:val="0"/>
          <w:iCs w:val="0"/>
        </w:rPr>
        <w:t>II.1. La arquitectura normativa</w:t>
      </w:r>
      <w:r w:rsidR="00981D96">
        <w:rPr>
          <w:b/>
          <w:bCs/>
          <w:i w:val="0"/>
          <w:iCs w:val="0"/>
        </w:rPr>
        <w:t>.</w:t>
      </w:r>
    </w:p>
    <w:p w14:paraId="056BF564" w14:textId="77777777" w:rsidR="008C3B42" w:rsidRDefault="0078339C">
      <w:pPr>
        <w:spacing w:after="120" w:line="360" w:lineRule="auto"/>
        <w:ind w:firstLine="567"/>
        <w:jc w:val="both"/>
      </w:pPr>
      <w:r>
        <w:t xml:space="preserve">El FAL se asienta sobre cinco niveles normativos. El primero es el Título II de la ley 27.802 (arts. 58 a 77), que fijó su </w:t>
      </w:r>
      <w:proofErr w:type="gramStart"/>
      <w:r>
        <w:t>entrada en vigencia</w:t>
      </w:r>
      <w:proofErr w:type="gramEnd"/>
      <w:r>
        <w:t xml:space="preserve"> para el 1° de junio de 2026 y facultó al Poder Ejecutivo a prorrogarla por un máximo de seis meses (art. 77). El segundo es el decreto 408/2026 (B.O. 01/06/2026), que reglamentó el Título II y, en uso de aquella facultad, prorrogó la vigencia al 1° de noviembre de 2026 (art. 27). El tercero es la Resolución 1276/2026 del Ministerio de Economía, que estableció las pautas de inversión de los recursos. El cuarto es la resolución general CNV 1167/2026 (B.O. 17/09/2026), dictada tras la consulta pública abierta por la resolución general 1161/2026, que reguló los vehículos bajo la denominación de "Productos de Inversión Colectiva de Fondos de Asistencia Laboral" (PIC FAL). El quinto, y último por ahora, es la Resolución UIF 109/2026 (B.O. 18/09/2026), que se examina en el capítulo VII.</w:t>
      </w:r>
    </w:p>
    <w:p w14:paraId="056BF565" w14:textId="77777777" w:rsidR="008C3B42" w:rsidRDefault="0078339C">
      <w:pPr>
        <w:spacing w:after="120" w:line="360" w:lineRule="auto"/>
        <w:ind w:firstLine="567"/>
        <w:jc w:val="both"/>
      </w:pPr>
      <w:r>
        <w:t>No deja de ser llamativo que un instrumento que el propio empleador puede decidir no utilizar, como se verá, requiera la intervención coordinada de la Secretaría de Trabajo, Empleo y Seguridad Social, el Ministerio de Economía y su Secretaría de Finanzas, la ARCA, la ANSES, la Comisión Nacional de Valores y la Unidad de Información Financiera.</w:t>
      </w:r>
    </w:p>
    <w:p w14:paraId="056BF566" w14:textId="2EA7122C" w:rsidR="008C3B42" w:rsidRPr="00981D96" w:rsidRDefault="0078339C">
      <w:pPr>
        <w:pStyle w:val="Ttulo2"/>
        <w:keepNext/>
        <w:spacing w:before="240" w:after="120"/>
        <w:rPr>
          <w:b/>
          <w:bCs/>
          <w:i w:val="0"/>
          <w:iCs w:val="0"/>
        </w:rPr>
      </w:pPr>
      <w:r w:rsidRPr="00981D96">
        <w:rPr>
          <w:b/>
          <w:bCs/>
          <w:i w:val="0"/>
          <w:iCs w:val="0"/>
        </w:rPr>
        <w:t>II.2. Objeto y supuestos cubiertos</w:t>
      </w:r>
      <w:r w:rsidR="00981D96" w:rsidRPr="00981D96">
        <w:rPr>
          <w:b/>
          <w:bCs/>
          <w:i w:val="0"/>
          <w:iCs w:val="0"/>
        </w:rPr>
        <w:t>.</w:t>
      </w:r>
    </w:p>
    <w:p w14:paraId="056BF567" w14:textId="77777777" w:rsidR="008C3B42" w:rsidRDefault="0078339C">
      <w:pPr>
        <w:spacing w:after="120" w:line="360" w:lineRule="auto"/>
        <w:ind w:firstLine="567"/>
        <w:jc w:val="both"/>
      </w:pPr>
      <w:r>
        <w:t>El art. 58 define el objeto del FAL como el de coadyuvar al cumplimiento de las obligaciones previstas en los arts. 95, 212 (párrafos segundo, tercero y cuarto), 232, 233, 241, 245, 246, 247, 248, 250 y 254 de la Ley de Contrato de Trabajo, así como de las indemnizaciones de preaviso, integración y despido previstas en los estatutos profesionales y en el régimen de trabajo agrario de la ley 26.727. Quedan excluidas las relaciones regidas por la ley 22.250 (industria de la construcción, que ya cuenta con su propio fondo de cese) y por la ley 26.844 (personal de casas particulares).</w:t>
      </w:r>
    </w:p>
    <w:p w14:paraId="056BF568" w14:textId="77777777" w:rsidR="008C3B42" w:rsidRDefault="0078339C">
      <w:pPr>
        <w:spacing w:after="120" w:line="360" w:lineRule="auto"/>
        <w:ind w:firstLine="567"/>
        <w:jc w:val="both"/>
      </w:pPr>
      <w:r>
        <w:t xml:space="preserve">Cabe advertir que, a diferencia de lo que hizo el decreto 847/2024 respecto del fondo de cese, la ley no incluye la renuncia (art. 240 LCT) entre los supuestos cubiertos, lo que resulta coherente con que esta no genera indemnización alguna. La cobertura se limita, </w:t>
      </w:r>
      <w:r>
        <w:lastRenderedPageBreak/>
        <w:t xml:space="preserve">además, a trabajadores registrados con una antelación no menor a doce meses respecto de la extinción, y la ley es enfática en que "en ningún caso y </w:t>
      </w:r>
      <w:proofErr w:type="gramStart"/>
      <w:r>
        <w:t>bajo ninguna circunstancia</w:t>
      </w:r>
      <w:proofErr w:type="gramEnd"/>
      <w:r>
        <w:t xml:space="preserve">" el fondo cubrirá a trabajadores no registrados (art. 58, tercer párrafo). Cuando la registración sea deficiente, el fondo solo podrá aplicarse a lo que correspondería según los datos registrados (art. 64; </w:t>
      </w:r>
      <w:proofErr w:type="spellStart"/>
      <w:r>
        <w:t>dec</w:t>
      </w:r>
      <w:proofErr w:type="spellEnd"/>
      <w:r>
        <w:t>. 408/2026, art. 13).</w:t>
      </w:r>
    </w:p>
    <w:p w14:paraId="056BF569" w14:textId="77777777" w:rsidR="008C3B42" w:rsidRDefault="0078339C">
      <w:pPr>
        <w:spacing w:after="120" w:line="360" w:lineRule="auto"/>
        <w:ind w:firstLine="567"/>
        <w:jc w:val="both"/>
      </w:pPr>
      <w:r>
        <w:t>La ley prevé, además, que la Secretaría de Trabajo y el Ministerio de Economía podrán ampliar las indemnizaciones cubiertas cuando las condiciones económico-financieras de los fondos lo permitan y se encuentre garantizada una cobertura mínima (art. 58, segundo párrafo), cuyos parámetros el decreto remite a una resolución conjunta que deberá asegurar la plena cobertura de las obligaciones del primer párrafo "aún bajo escenarios adversos razonables del mercado de trabajo" (</w:t>
      </w:r>
      <w:proofErr w:type="spellStart"/>
      <w:r>
        <w:t>dec</w:t>
      </w:r>
      <w:proofErr w:type="spellEnd"/>
      <w:r>
        <w:t>. 408/2026, art. 4°).</w:t>
      </w:r>
    </w:p>
    <w:p w14:paraId="056BF56A" w14:textId="4467ABF2" w:rsidR="008C3B42" w:rsidRPr="00981D96" w:rsidRDefault="0078339C">
      <w:pPr>
        <w:pStyle w:val="Ttulo2"/>
        <w:keepNext/>
        <w:spacing w:before="240" w:after="120"/>
        <w:rPr>
          <w:b/>
          <w:bCs/>
          <w:i w:val="0"/>
          <w:iCs w:val="0"/>
        </w:rPr>
      </w:pPr>
      <w:r w:rsidRPr="00981D96">
        <w:rPr>
          <w:b/>
          <w:bCs/>
          <w:i w:val="0"/>
          <w:iCs w:val="0"/>
        </w:rPr>
        <w:t>II.3. Los empleadores alcanzados</w:t>
      </w:r>
      <w:r w:rsidR="00981D96" w:rsidRPr="00981D96">
        <w:rPr>
          <w:b/>
          <w:bCs/>
          <w:i w:val="0"/>
          <w:iCs w:val="0"/>
        </w:rPr>
        <w:t>.</w:t>
      </w:r>
    </w:p>
    <w:p w14:paraId="056BF56B" w14:textId="77777777" w:rsidR="008C3B42" w:rsidRDefault="0078339C">
      <w:pPr>
        <w:spacing w:after="120" w:line="360" w:lineRule="auto"/>
        <w:ind w:firstLine="567"/>
        <w:jc w:val="both"/>
      </w:pPr>
      <w:r>
        <w:t>El régimen se aplica a todos los empleadores del sector privado, con exclusión de las relaciones del sector público nacional, provincial y municipal (</w:t>
      </w:r>
      <w:proofErr w:type="spellStart"/>
      <w:r>
        <w:t>dec</w:t>
      </w:r>
      <w:proofErr w:type="spellEnd"/>
      <w:r>
        <w:t>. 408/2026, art. 2°). A los fines de la alícuota diferenciada, se consideran Micro, Pequeñas y Medianas Empresas las que cuenten con el certificado previsto en la resolución 220/2019 de la entonces Secretaría de Emprendedores y de la Pequeña y Mediana Empresa, categoría que comprende también a las entidades sin fines de lucro que cumplan sus parámetros.</w:t>
      </w:r>
    </w:p>
    <w:p w14:paraId="056BF56C" w14:textId="5A70F933" w:rsidR="008C3B42" w:rsidRPr="00981D96" w:rsidRDefault="0078339C">
      <w:pPr>
        <w:pStyle w:val="Ttulo2"/>
        <w:keepNext/>
        <w:spacing w:before="240" w:after="120"/>
        <w:rPr>
          <w:b/>
          <w:bCs/>
          <w:i w:val="0"/>
          <w:iCs w:val="0"/>
        </w:rPr>
      </w:pPr>
      <w:r w:rsidRPr="00981D96">
        <w:rPr>
          <w:b/>
          <w:bCs/>
          <w:i w:val="0"/>
          <w:iCs w:val="0"/>
        </w:rPr>
        <w:t>II.4. La cuenta individual, el identificador y los vehículos</w:t>
      </w:r>
      <w:r w:rsidR="00981D96" w:rsidRPr="00981D96">
        <w:rPr>
          <w:b/>
          <w:bCs/>
          <w:i w:val="0"/>
          <w:iCs w:val="0"/>
        </w:rPr>
        <w:t>.</w:t>
      </w:r>
    </w:p>
    <w:p w14:paraId="056BF56D" w14:textId="77777777" w:rsidR="008C3B42" w:rsidRDefault="0078339C">
      <w:pPr>
        <w:spacing w:after="120" w:line="360" w:lineRule="auto"/>
        <w:ind w:firstLine="567"/>
        <w:jc w:val="both"/>
      </w:pPr>
      <w:r>
        <w:t>Cada empleador debe constituir una cuenta como patrimonio separado, de afectación específica, independiente, inajenable e inembargable (arts. 59 y 74), administrada por una entidad habilitada por la CNV. La cuenta es "de carácter común y no individualizable por trabajador" (art. 62), de modo que no existe, a diferencia del FGTS brasileño o del fondo de la ley 22.250, un saldo atribuible a cada relación laboral.</w:t>
      </w:r>
    </w:p>
    <w:p w14:paraId="056BF56E" w14:textId="6752E59E" w:rsidR="008C3B42" w:rsidRDefault="0078339C">
      <w:pPr>
        <w:spacing w:after="120" w:line="360" w:lineRule="auto"/>
        <w:ind w:firstLine="567"/>
        <w:jc w:val="both"/>
      </w:pPr>
      <w:r>
        <w:t>El decreto 408/2026 dispuso que los FAL se instrumenten mediante fondos comunes de inversión abiertos de la ley 24.083 o fideicomisos financieros sujetos a la competencia de la CNV (art. 5°). La entidad habilitada asigna a la cuenta un identificador único ("ID FAL"), que el empleador debe informar a la ARCA</w:t>
      </w:r>
      <w:r w:rsidR="00981D96">
        <w:t xml:space="preserve"> y </w:t>
      </w:r>
      <w:r>
        <w:t>si no lo hace dentro del mes siguiente al vencimiento de la obligación, la CNV le asigna de oficio un vehículo (art. 9°). El empleador no puede elegir una entidad en la que posea participación directa o indirecta, bajo pena de la multa del art. 75 de la ley, y el decreto extiende la prohibición a la participación a través de sociedades vinculadas (art. 12).</w:t>
      </w:r>
    </w:p>
    <w:p w14:paraId="056BF56F" w14:textId="723FCA71" w:rsidR="008C3B42" w:rsidRDefault="0078339C">
      <w:pPr>
        <w:spacing w:after="120" w:line="360" w:lineRule="auto"/>
        <w:ind w:firstLine="567"/>
        <w:jc w:val="both"/>
      </w:pPr>
      <w:r>
        <w:lastRenderedPageBreak/>
        <w:t>La resolución general CNV 1167/2026 completó este esquema. Admite</w:t>
      </w:r>
      <w:r w:rsidR="00981D96">
        <w:t>:</w:t>
      </w:r>
      <w:r>
        <w:t xml:space="preserve"> vehículos de empleador único o multiempresa; les otorga autorización automática de oferta pública; precisa que el tope de comisión del 1% es global e integral, incluye el IVA y abarca a todos los prestadores del vehículo; limita la portabilidad entre entidades a los meses de junio y diciembre, con una periodicidad no menor a seis meses; y obliga a publicar mensualmente una "Ficha FAL" con la composición de la cartera y los rendimientos</w:t>
      </w:r>
      <w:r>
        <w:rPr>
          <w:rStyle w:val="Refdenotaalpie"/>
        </w:rPr>
        <w:footnoteReference w:id="3"/>
      </w:r>
      <w:r>
        <w:t>.</w:t>
      </w:r>
    </w:p>
    <w:p w14:paraId="056BF570" w14:textId="14464E69" w:rsidR="008C3B42" w:rsidRPr="00981D96" w:rsidRDefault="0078339C">
      <w:pPr>
        <w:pStyle w:val="Ttulo2"/>
        <w:keepNext/>
        <w:spacing w:before="240" w:after="120"/>
        <w:rPr>
          <w:b/>
          <w:bCs/>
          <w:i w:val="0"/>
          <w:iCs w:val="0"/>
        </w:rPr>
      </w:pPr>
      <w:r w:rsidRPr="00981D96">
        <w:rPr>
          <w:b/>
          <w:bCs/>
          <w:i w:val="0"/>
          <w:iCs w:val="0"/>
        </w:rPr>
        <w:t>II.5. El procedimiento de pago y sus condiciones</w:t>
      </w:r>
      <w:r w:rsidR="00981D96" w:rsidRPr="00981D96">
        <w:rPr>
          <w:b/>
          <w:bCs/>
          <w:i w:val="0"/>
          <w:iCs w:val="0"/>
        </w:rPr>
        <w:t>.</w:t>
      </w:r>
    </w:p>
    <w:p w14:paraId="056BF571" w14:textId="78A56AEE" w:rsidR="008C3B42" w:rsidRDefault="0078339C">
      <w:pPr>
        <w:spacing w:after="120" w:line="360" w:lineRule="auto"/>
        <w:ind w:firstLine="567"/>
        <w:jc w:val="both"/>
      </w:pPr>
      <w:r>
        <w:t xml:space="preserve">Determinada la obligación, el empleador que decida utilizar el fondo presenta a la entidad habilitada una declaración jurada con los datos del trabajador, su cuenta bancaria, la fecha y causa de la extinción, el detalle de la liquidación y el monto a transferir (art. 69; </w:t>
      </w:r>
      <w:proofErr w:type="spellStart"/>
      <w:r>
        <w:t>dec</w:t>
      </w:r>
      <w:proofErr w:type="spellEnd"/>
      <w:r>
        <w:t>. 408/2026, art. 17). La entidad solo debe validar tres extremos</w:t>
      </w:r>
      <w:r w:rsidR="00981D96">
        <w:t xml:space="preserve">, que son </w:t>
      </w:r>
      <w:r>
        <w:t>la titularidad de la cuenta bancaria del trabajador, su condición de trabajador registrado por ese empleador y la completitud de la declaración. Cumplidos, transfiere los fondos en un plazo máximo de cinco días hábiles. La exactitud del cálculo es, en todos los casos, responsabilidad exclusiva del empleador (</w:t>
      </w:r>
      <w:proofErr w:type="spellStart"/>
      <w:r>
        <w:t>dec</w:t>
      </w:r>
      <w:proofErr w:type="spellEnd"/>
      <w:r>
        <w:t>. 408/2026, art. 17, último párrafo).</w:t>
      </w:r>
    </w:p>
    <w:p w14:paraId="056BF572" w14:textId="70181EDD" w:rsidR="008C3B42" w:rsidRDefault="0078339C">
      <w:pPr>
        <w:spacing w:after="120" w:line="360" w:lineRule="auto"/>
        <w:ind w:firstLine="567"/>
        <w:jc w:val="both"/>
      </w:pPr>
      <w:r>
        <w:t>Dos condiciones adicionales limitan el uso</w:t>
      </w:r>
      <w:r w:rsidR="00981D96">
        <w:t>, siendo que la</w:t>
      </w:r>
      <w:r>
        <w:t xml:space="preserve"> primera es un período de carenci</w:t>
      </w:r>
      <w:r w:rsidR="00981D96">
        <w:t xml:space="preserve">a, por la que </w:t>
      </w:r>
      <w:r>
        <w:t xml:space="preserve">el fondo no responde hasta haber recibido al menos seis contribuciones mensuales completas y consecutivas, contadas desde el mes en que la ARCA registre la primera integración efectiva (art. 65; </w:t>
      </w:r>
      <w:proofErr w:type="spellStart"/>
      <w:r>
        <w:t>dec</w:t>
      </w:r>
      <w:proofErr w:type="spellEnd"/>
      <w:r>
        <w:t>. 408/2026, art. 15). La segunda, más relevante para lo que sigue, es que el uso del fondo es una facultad y no una obligación del empleador, quien ante cada extinción "podrá optar por aplicar los recursos de la cuenta, o una parte de ellos [...] o por no usarlos para ese caso y mantener los recursos en la cuenta" (art. 64, último párrafo).</w:t>
      </w:r>
    </w:p>
    <w:p w14:paraId="056BF573" w14:textId="68650768" w:rsidR="008C3B42" w:rsidRDefault="0078339C">
      <w:pPr>
        <w:pStyle w:val="Ttulo1"/>
        <w:keepNext/>
        <w:spacing w:before="360" w:after="180"/>
      </w:pPr>
      <w:r>
        <w:t>III. Quién paga el Fondo de Asistencia Laboral</w:t>
      </w:r>
      <w:r w:rsidR="00981D96">
        <w:t>.</w:t>
      </w:r>
    </w:p>
    <w:p w14:paraId="056BF574" w14:textId="06DA1C31" w:rsidR="008C3B42" w:rsidRPr="00981D96" w:rsidRDefault="0078339C">
      <w:pPr>
        <w:pStyle w:val="Ttulo2"/>
        <w:keepNext/>
        <w:spacing w:before="240" w:after="120"/>
        <w:rPr>
          <w:b/>
          <w:bCs/>
          <w:i w:val="0"/>
          <w:iCs w:val="0"/>
        </w:rPr>
      </w:pPr>
      <w:r w:rsidRPr="00981D96">
        <w:rPr>
          <w:b/>
          <w:bCs/>
          <w:i w:val="0"/>
          <w:iCs w:val="0"/>
        </w:rPr>
        <w:t>III.1. Una contribución que no cuesta al empleador</w:t>
      </w:r>
      <w:r w:rsidR="00981D96" w:rsidRPr="00981D96">
        <w:rPr>
          <w:b/>
          <w:bCs/>
          <w:i w:val="0"/>
          <w:iCs w:val="0"/>
        </w:rPr>
        <w:t>.</w:t>
      </w:r>
    </w:p>
    <w:p w14:paraId="056BF575" w14:textId="77777777" w:rsidR="008C3B42" w:rsidRDefault="0078339C">
      <w:pPr>
        <w:spacing w:after="120" w:line="360" w:lineRule="auto"/>
        <w:ind w:firstLine="567"/>
        <w:jc w:val="both"/>
      </w:pPr>
      <w:r>
        <w:t xml:space="preserve">El art. 60 fija una contribución mensual obligatoria del 1% para las grandes empresas y del 2,5% para las </w:t>
      </w:r>
      <w:proofErr w:type="spellStart"/>
      <w:r>
        <w:t>MiPyMEs</w:t>
      </w:r>
      <w:proofErr w:type="spellEnd"/>
      <w:r>
        <w:t xml:space="preserve">, calculada sobre las remuneraciones que sirven de base a las contribuciones patronales con destino al SIPA, y autoriza al Poder Ejecutivo a elevarla hasta </w:t>
      </w:r>
      <w:r>
        <w:lastRenderedPageBreak/>
        <w:t>el 1,5% y el 3%, respectivamente, con aprobación de la Comisión Bicameral de Control de Fondos de la Seguridad Social.</w:t>
      </w:r>
    </w:p>
    <w:p w14:paraId="056BF576" w14:textId="2A2D043A" w:rsidR="008C3B42" w:rsidRDefault="0078339C">
      <w:pPr>
        <w:spacing w:after="120" w:line="360" w:lineRule="auto"/>
        <w:ind w:firstLine="567"/>
        <w:jc w:val="both"/>
      </w:pPr>
      <w:r>
        <w:t>Sin embargo, el art. 76 establece que los empleadores tendrán "una reducción en las contribuciones patronales con destino a la seguridad social equivalente" a la que resulte del art. 60. El decreto reglamentario precisa el mecanismo</w:t>
      </w:r>
      <w:r w:rsidR="00981D96">
        <w:t>, siendo que</w:t>
      </w:r>
      <w:r>
        <w:t xml:space="preserve"> los empleadores detraerán mensualmente la alícuota del FAL de la que les corresponda para los subsistemas regidos por las leyes 19.032 (Instituto Nacional de Servicios Sociales para Jubilados y Pensionados), 24.013 (Fondo Nacional de Empleo), 24.241 (Sistema Integrado Previsional Argentino) y 24.714 (asignaciones familiares), en la misma proporción en que se distribuyen las contribuciones patronales (</w:t>
      </w:r>
      <w:proofErr w:type="spellStart"/>
      <w:r>
        <w:t>dec</w:t>
      </w:r>
      <w:proofErr w:type="spellEnd"/>
      <w:r>
        <w:t>. 408/2026, art. 24).</w:t>
      </w:r>
    </w:p>
    <w:p w14:paraId="056BF577" w14:textId="6538789E" w:rsidR="008C3B42" w:rsidRDefault="0078339C">
      <w:pPr>
        <w:spacing w:after="120" w:line="360" w:lineRule="auto"/>
        <w:ind w:firstLine="567"/>
        <w:jc w:val="both"/>
      </w:pPr>
      <w:r>
        <w:t>La consecuencia es que, para el empleador, el FAL es financieramente neutro</w:t>
      </w:r>
      <w:r w:rsidR="00981D96">
        <w:t>, porque</w:t>
      </w:r>
      <w:r>
        <w:t xml:space="preserve"> paga a su propia cuenta lo que deja de pagar a la seguridad social. Quien soporta el costo íntegro del régimen es el sistema de seguridad social, que ve reducidos sus ingresos en exactamente la magnitud de los aportes al FAL</w:t>
      </w:r>
      <w:r>
        <w:rPr>
          <w:rStyle w:val="Refdenotaalpie"/>
        </w:rPr>
        <w:footnoteReference w:id="4"/>
      </w:r>
      <w:r>
        <w:t>. Dicho de otro modo, los recursos que hoy financian jubilaciones, la obra social de los jubilados, el seguro de desempleo y las asignaciones familiares pasan a financiar una cuenta de titularidad del empleador.</w:t>
      </w:r>
    </w:p>
    <w:p w14:paraId="056BF578" w14:textId="427827B4" w:rsidR="008C3B42" w:rsidRPr="00981D96" w:rsidRDefault="0078339C">
      <w:pPr>
        <w:pStyle w:val="Ttulo2"/>
        <w:keepNext/>
        <w:spacing w:before="240" w:after="120"/>
        <w:rPr>
          <w:b/>
          <w:bCs/>
          <w:i w:val="0"/>
          <w:iCs w:val="0"/>
        </w:rPr>
      </w:pPr>
      <w:r w:rsidRPr="00981D96">
        <w:rPr>
          <w:b/>
          <w:bCs/>
          <w:i w:val="0"/>
          <w:iCs w:val="0"/>
        </w:rPr>
        <w:t>III.2. Un remanente que vuelve al empleador</w:t>
      </w:r>
      <w:r w:rsidR="00981D96" w:rsidRPr="00981D96">
        <w:rPr>
          <w:b/>
          <w:bCs/>
          <w:i w:val="0"/>
          <w:iCs w:val="0"/>
        </w:rPr>
        <w:t>.</w:t>
      </w:r>
    </w:p>
    <w:p w14:paraId="056BF579" w14:textId="6BE20462" w:rsidR="008C3B42" w:rsidRDefault="0078339C">
      <w:pPr>
        <w:spacing w:after="120" w:line="360" w:lineRule="auto"/>
        <w:ind w:firstLine="567"/>
        <w:jc w:val="both"/>
      </w:pPr>
      <w:r>
        <w:t>Esa transferencia no es transitoria. El art. 72 prevé que la cuenta se extingue, y sus recursos se transfieren a una cuenta bancaria del empleador en el país, en tres supuestos</w:t>
      </w:r>
      <w:r w:rsidR="00981D96">
        <w:t>, que con</w:t>
      </w:r>
      <w:r>
        <w:t xml:space="preserve"> el </w:t>
      </w:r>
      <w:r w:rsidR="00981D96">
        <w:t xml:space="preserve">de </w:t>
      </w:r>
      <w:r>
        <w:t>cese, disolución, liquidación o quiebra del empleador (salvo disposición en contrario del juez de la quiebra)</w:t>
      </w:r>
      <w:r w:rsidR="00981D96">
        <w:t xml:space="preserve">, </w:t>
      </w:r>
      <w:r>
        <w:t>la ausencia de trabajadores registrados durante seis meses continuos, salvo que exista un reclamo judicial pendiente</w:t>
      </w:r>
      <w:r w:rsidR="00981D96">
        <w:t>,</w:t>
      </w:r>
      <w:r>
        <w:t xml:space="preserve"> y la solicitud del propio empleador, acreditando la inexistencia de contingencias laborales.</w:t>
      </w:r>
    </w:p>
    <w:p w14:paraId="056BF57A" w14:textId="77777777" w:rsidR="008C3B42" w:rsidRDefault="0078339C">
      <w:pPr>
        <w:spacing w:after="120" w:line="360" w:lineRule="auto"/>
        <w:ind w:firstLine="567"/>
        <w:jc w:val="both"/>
      </w:pPr>
      <w:r>
        <w:t>A ello se agrega la posibilidad de suspender o interrumpir las contribuciones cuando el saldo acumulado cubra los porcentajes de contingencias que fije la reglamentación (art. 66), supuesto en el cual, lógicamente, también cesa la reducción de contribuciones patronales (</w:t>
      </w:r>
      <w:proofErr w:type="spellStart"/>
      <w:r>
        <w:t>dec</w:t>
      </w:r>
      <w:proofErr w:type="spellEnd"/>
      <w:r>
        <w:t>. 408/2026, art. 24, tercer párrafo).</w:t>
      </w:r>
    </w:p>
    <w:p w14:paraId="24B6710B" w14:textId="77777777" w:rsidR="00D30BE3" w:rsidRDefault="0078339C">
      <w:pPr>
        <w:spacing w:after="120" w:line="360" w:lineRule="auto"/>
        <w:ind w:firstLine="567"/>
        <w:jc w:val="both"/>
      </w:pPr>
      <w:r>
        <w:lastRenderedPageBreak/>
        <w:t xml:space="preserve">El circuito completo es, entonces, </w:t>
      </w:r>
      <w:r w:rsidR="00D30BE3">
        <w:t xml:space="preserve">que los </w:t>
      </w:r>
      <w:r>
        <w:t xml:space="preserve">recursos que la ley destinaba a la seguridad social ingresan a una cuenta del empleador, se invierten, pueden no utilizarse nunca y, al extinguirse la cuenta, se transfieren al patrimonio del empleador. </w:t>
      </w:r>
    </w:p>
    <w:p w14:paraId="056BF57B" w14:textId="108CBC48" w:rsidR="008C3B42" w:rsidRDefault="00D30BE3" w:rsidP="00D30BE3">
      <w:pPr>
        <w:spacing w:after="120" w:line="360" w:lineRule="auto"/>
        <w:ind w:firstLine="567"/>
        <w:jc w:val="both"/>
      </w:pPr>
      <w:r w:rsidRPr="00D30BE3">
        <w:t>El decreto grava ese remanente con el impuesto a las ganancias (art. 19, cuarto párrafo). Pero ese tributo no compensa la pérdida: el empleador había deducido la contribución al aportar y los rendimientos estuvieron exentos, de modo que el gravamen sobre el remanente no es más que la reversión de un diferimiento. Lo que eventualmente se perciba ingresa, además, a la masa coparticipable y no a los subsistemas de la seguridad social, que pierden en forma definitiva el cien por ciento de la contribución</w:t>
      </w:r>
      <w:r>
        <w:t>.</w:t>
      </w:r>
    </w:p>
    <w:p w14:paraId="056BF57C" w14:textId="189E94B9" w:rsidR="008C3B42" w:rsidRPr="00D30BE3" w:rsidRDefault="0078339C">
      <w:pPr>
        <w:pStyle w:val="Ttulo2"/>
        <w:keepNext/>
        <w:spacing w:before="240" w:after="120"/>
        <w:rPr>
          <w:b/>
          <w:bCs/>
          <w:i w:val="0"/>
          <w:iCs w:val="0"/>
        </w:rPr>
      </w:pPr>
      <w:r w:rsidRPr="00D30BE3">
        <w:rPr>
          <w:b/>
          <w:bCs/>
          <w:i w:val="0"/>
          <w:iCs w:val="0"/>
        </w:rPr>
        <w:t>III.3. El tratamiento tributario</w:t>
      </w:r>
      <w:r w:rsidR="00D30BE3" w:rsidRPr="00D30BE3">
        <w:rPr>
          <w:b/>
          <w:bCs/>
          <w:i w:val="0"/>
          <w:iCs w:val="0"/>
        </w:rPr>
        <w:t>.</w:t>
      </w:r>
    </w:p>
    <w:p w14:paraId="67E5F92E" w14:textId="77777777" w:rsidR="00F70D61" w:rsidRDefault="0078339C" w:rsidP="00F70D61">
      <w:pPr>
        <w:spacing w:after="120" w:line="360" w:lineRule="auto"/>
        <w:ind w:firstLine="567"/>
        <w:jc w:val="both"/>
      </w:pPr>
      <w:r>
        <w:t>El art. 67 exime del impuesto a las ganancias los rendimientos del fondo, y el decreto aclara que las contribuciones son deducibles, mientras que los importes que se paguen a los trabajadores con recursos del fondo no dan lugar a deducción, sin perjuicio de la deducibilidad de los pagos que el empleador efectúe de manera directa (</w:t>
      </w:r>
      <w:proofErr w:type="spellStart"/>
      <w:r>
        <w:t>dec</w:t>
      </w:r>
      <w:proofErr w:type="spellEnd"/>
      <w:r>
        <w:t>. 408/2026, art. 19)</w:t>
      </w:r>
      <w:r>
        <w:rPr>
          <w:rStyle w:val="Refdenotaalpie"/>
        </w:rPr>
        <w:footnoteReference w:id="5"/>
      </w:r>
      <w:r>
        <w:t>. El decreto exime, además, del impuesto sobre los créditos y débitos bancarios a las cuentas utilizadas en forma exclusiva por los vehículos, así como a las suscripciones y rescates (art. 25).</w:t>
      </w:r>
    </w:p>
    <w:p w14:paraId="051AE08D" w14:textId="77777777" w:rsidR="00F70D61" w:rsidRDefault="00F70D61" w:rsidP="00F70D61">
      <w:pPr>
        <w:spacing w:after="120" w:line="360" w:lineRule="auto"/>
        <w:ind w:firstLine="567"/>
        <w:jc w:val="both"/>
      </w:pPr>
      <w:r w:rsidRPr="00F70D61">
        <w:t>Esta combinación tiene una consecuencia práctica que se retomará en el capítulo IV. Si el empleador paga la indemnización con el fondo, no deduce ese pago, porque la deducción ya operó al integrar la contribución; si la paga con recursos propios, la deduce en el ejercicio y conserva el fondo, cuyo remanente solo tributará cuando la cuenta se extinga, lo que puede no ocurrir nunca mientras la empresa mantenga personal. La norma premia, así, diferir el uso del fondo para aquello que dice perseguir.</w:t>
      </w:r>
    </w:p>
    <w:p w14:paraId="056BF57F" w14:textId="7C95423C" w:rsidR="008C3B42" w:rsidRPr="00F70D61" w:rsidRDefault="0078339C" w:rsidP="00F70D61">
      <w:pPr>
        <w:spacing w:after="120" w:line="360" w:lineRule="auto"/>
        <w:jc w:val="both"/>
      </w:pPr>
      <w:r w:rsidRPr="00F70D61">
        <w:rPr>
          <w:b/>
          <w:bCs/>
          <w:color w:val="000000"/>
        </w:rPr>
        <w:t>III.4. La tensión con el art. 14 bis de la Constitución Nacional</w:t>
      </w:r>
      <w:r w:rsidR="00D30BE3" w:rsidRPr="00F70D61">
        <w:rPr>
          <w:b/>
          <w:bCs/>
        </w:rPr>
        <w:t>.</w:t>
      </w:r>
    </w:p>
    <w:p w14:paraId="056BF580" w14:textId="77777777" w:rsidR="008C3B42" w:rsidRDefault="0078339C">
      <w:pPr>
        <w:spacing w:after="120" w:line="360" w:lineRule="auto"/>
        <w:ind w:firstLine="567"/>
        <w:jc w:val="both"/>
      </w:pPr>
      <w:r>
        <w:t xml:space="preserve">El art. 14 bis impone al Estado otorgar los beneficios de la seguridad social, que "tendrá carácter de integral e irrenunciable". La desafectación de contribuciones destinadas a los subsistemas de seguridad social para integrar patrimonios de titularidad privada, cuyo destino final puede ser el propio empleador obligado a contribuir, plantea un interrogante constitucional serio que excede la cuestión indemnizatoria. No se trata ya, como en el fondo </w:t>
      </w:r>
      <w:r>
        <w:lastRenderedPageBreak/>
        <w:t>de cese, de que el trabajador reciba menos protección contra el despido arbitrario, sino de que la comunidad de beneficiarios de la seguridad social financie la previsión indemnizatoria de los empleadores, sin contraprestación alguna</w:t>
      </w:r>
      <w:r>
        <w:rPr>
          <w:rStyle w:val="Refdenotaalpie"/>
        </w:rPr>
        <w:footnoteReference w:id="6"/>
      </w:r>
      <w:r>
        <w:t>.</w:t>
      </w:r>
    </w:p>
    <w:p w14:paraId="056BF581" w14:textId="77777777" w:rsidR="008C3B42" w:rsidRDefault="0078339C">
      <w:pPr>
        <w:pStyle w:val="Ttulo1"/>
        <w:keepNext/>
        <w:spacing w:before="360" w:after="180"/>
      </w:pPr>
      <w:r>
        <w:t>IV. ¿Tendrá utilidad el FAL en la Argentina?</w:t>
      </w:r>
    </w:p>
    <w:p w14:paraId="056BF582" w14:textId="5AC7AF88" w:rsidR="008C3B42" w:rsidRPr="009A49B1" w:rsidRDefault="0078339C">
      <w:pPr>
        <w:pStyle w:val="Ttulo2"/>
        <w:keepNext/>
        <w:spacing w:before="240" w:after="120"/>
        <w:rPr>
          <w:b/>
          <w:bCs/>
          <w:i w:val="0"/>
          <w:iCs w:val="0"/>
        </w:rPr>
      </w:pPr>
      <w:r w:rsidRPr="009A49B1">
        <w:rPr>
          <w:b/>
          <w:bCs/>
          <w:i w:val="0"/>
          <w:iCs w:val="0"/>
        </w:rPr>
        <w:t>IV.1. Desde la perspectiva del trabajador</w:t>
      </w:r>
      <w:r w:rsidR="009A49B1" w:rsidRPr="009A49B1">
        <w:rPr>
          <w:b/>
          <w:bCs/>
          <w:i w:val="0"/>
          <w:iCs w:val="0"/>
        </w:rPr>
        <w:t>.</w:t>
      </w:r>
    </w:p>
    <w:p w14:paraId="056BF583" w14:textId="0FE0BCEF" w:rsidR="008C3B42" w:rsidRDefault="0078339C">
      <w:pPr>
        <w:spacing w:after="120" w:line="360" w:lineRule="auto"/>
        <w:ind w:firstLine="567"/>
        <w:jc w:val="both"/>
      </w:pPr>
      <w:r>
        <w:t>Para el trabajador el FAL no modifica nada sustancial. Su crédito indemnizatorio sigue siendo el mismo, y el único responsable de su pago sigue siendo el empleador, junto con quienes respondan solidariamente (art. 68)</w:t>
      </w:r>
      <w:r w:rsidR="009A49B1">
        <w:t xml:space="preserve"> y</w:t>
      </w:r>
      <w:r>
        <w:t xml:space="preserve"> las entidades administradoras son terceros ajenos a la relación laboral. La única ventaja concebible es la celeridad del pago, dentro de los cinco días hábiles de presentada la declaración jurada, pero esa ventaja depende enteramente de que el empleador opte por utilizar el fondo.</w:t>
      </w:r>
    </w:p>
    <w:p w14:paraId="056BF584" w14:textId="77777777" w:rsidR="008C3B42" w:rsidRDefault="0078339C">
      <w:pPr>
        <w:spacing w:after="120" w:line="360" w:lineRule="auto"/>
        <w:ind w:firstLine="567"/>
        <w:jc w:val="both"/>
      </w:pPr>
      <w:r>
        <w:t>Para el trabajador no registrado, que es precisamente quien más protección necesita, el FAL no existe. Y para el registrado de modo deficiente, el fondo solo cubre la parte declarada, lo que en la práctica traslada al litigio las diferencias que antes también debían litigarse. Resulta difícil, entonces, identificar al trabajador como destinatario de una "asistencia" que no le reconoce derecho alguno sobre la cuenta.</w:t>
      </w:r>
    </w:p>
    <w:p w14:paraId="5B40EEE8" w14:textId="350295F0" w:rsidR="00D30BE3" w:rsidRDefault="00D30BE3">
      <w:pPr>
        <w:spacing w:after="120" w:line="360" w:lineRule="auto"/>
        <w:ind w:firstLine="567"/>
        <w:jc w:val="both"/>
      </w:pPr>
      <w:r w:rsidRPr="00D30BE3">
        <w:t>Pero la cuestión no se agota en lo que el FAL no le da al trabajador, sino que alcanza también a lo que genera con su trabajo. Como la cuenta es común y no individualizable, cada contribución, calculada sobre la remuneración de un trabajador determinado, ingresa a un pozo del que ese trabajador puede no beneficiarse nunca. Es lo que ocurre, en primer lugar, con quien renuncia, que es la forma más frecuente de extinción del contrato de trabajo en la Argentina</w:t>
      </w:r>
      <w:r w:rsidR="009A49B1">
        <w:t>.</w:t>
      </w:r>
      <w:r>
        <w:rPr>
          <w:rStyle w:val="Refdenotaalpie"/>
        </w:rPr>
        <w:footnoteReference w:id="7"/>
      </w:r>
      <w:r w:rsidRPr="00D30BE3">
        <w:t xml:space="preserve"> </w:t>
      </w:r>
      <w:r w:rsidR="009A49B1">
        <w:t>E</w:t>
      </w:r>
      <w:r w:rsidRPr="00D30BE3">
        <w:t>n segundo lugar, con quien se jubila, puesto que la extinción del art. 252 LCT no figura entre los supuestos del art. 58</w:t>
      </w:r>
      <w:r w:rsidR="009A49B1">
        <w:t xml:space="preserve">; </w:t>
      </w:r>
      <w:r w:rsidRPr="00D30BE3">
        <w:t xml:space="preserve">y, en tercer lugar, con el trabajador despedido antes de cumplir doce meses de registración, que contribuyó al fondo durante toda su relación y sin embargo no puede ser indemnizado con él (art. 58, tercer párrafo). En los dos primeros casos la exclusión puede explicarse porque la ley laboral no prevé indemnización, pero en el tercero la indemnización existe y el fondo generado con esa remuneración se encuentra vedado para pagarla. En todos ellos, las contribuciones generadas por esos trabajadores terminan financiando la deuda indemnizatoria del empleador con otros trabajadores o, si no </w:t>
      </w:r>
      <w:r w:rsidRPr="00D30BE3">
        <w:lastRenderedPageBreak/>
        <w:t>se utilizan, integrando el remanente que el art. 72 devuelve al empleador. El contraste con el fondo de la ley 22.250 y con el FGTS brasileño es elocuente</w:t>
      </w:r>
      <w:r w:rsidR="009A49B1">
        <w:t>, ya que</w:t>
      </w:r>
      <w:r w:rsidRPr="00D30BE3">
        <w:t xml:space="preserve"> en ambos la cuenta es individual y el trabajador la percibe ante cualquier extinción, incluida la renuncia.</w:t>
      </w:r>
    </w:p>
    <w:p w14:paraId="056BF585" w14:textId="3F3EFB51" w:rsidR="008C3B42" w:rsidRPr="009A49B1" w:rsidRDefault="0078339C">
      <w:pPr>
        <w:pStyle w:val="Ttulo2"/>
        <w:keepNext/>
        <w:spacing w:before="240" w:after="120"/>
        <w:rPr>
          <w:b/>
          <w:bCs/>
          <w:i w:val="0"/>
          <w:iCs w:val="0"/>
        </w:rPr>
      </w:pPr>
      <w:r w:rsidRPr="009A49B1">
        <w:rPr>
          <w:b/>
          <w:bCs/>
          <w:i w:val="0"/>
          <w:iCs w:val="0"/>
        </w:rPr>
        <w:t>IV.2. Desde la perspectiva del empleador: cuánto cubre el fondo</w:t>
      </w:r>
      <w:r w:rsidR="009A49B1" w:rsidRPr="009A49B1">
        <w:rPr>
          <w:b/>
          <w:bCs/>
          <w:i w:val="0"/>
          <w:iCs w:val="0"/>
        </w:rPr>
        <w:t>.</w:t>
      </w:r>
    </w:p>
    <w:p w14:paraId="056BF586" w14:textId="77777777" w:rsidR="008C3B42" w:rsidRDefault="0078339C">
      <w:pPr>
        <w:spacing w:after="120" w:line="360" w:lineRule="auto"/>
        <w:ind w:firstLine="567"/>
        <w:jc w:val="both"/>
      </w:pPr>
      <w:r>
        <w:t>Conviene hacer números. Si la contribución se calcula mensualmente sobre la remuneración que sirve de base a las contribuciones al SIPA, incluido el sueldo anual complementario, una MiPyME aportará por cada trabajador y por año alrededor del 32,5% de una remuneración mensual (2,5% por trece), y una gran empresa alrededor del 13% (1% por trece). La indemnización del art. 245 LCT, en cambio, equivale a una mejor remuneración mensual por cada año de servicio, a la que se suman el preaviso y la integración del mes de despido</w:t>
      </w:r>
      <w:r>
        <w:rPr>
          <w:rStyle w:val="Refdenotaalpie"/>
        </w:rPr>
        <w:footnoteReference w:id="8"/>
      </w:r>
      <w:r>
        <w:t>.</w:t>
      </w:r>
    </w:p>
    <w:p w14:paraId="174409D1" w14:textId="77777777" w:rsidR="009A49B1" w:rsidRDefault="0078339C">
      <w:pPr>
        <w:spacing w:after="120" w:line="360" w:lineRule="auto"/>
        <w:ind w:firstLine="567"/>
        <w:jc w:val="both"/>
      </w:pPr>
      <w:r>
        <w:t xml:space="preserve">Como la cuenta no se individualiza por trabajador, el fondo opera como un pozo común, y la pregunta relevante no es cuánto se acumula por cada relación sino cuántas extinciones puede atender. </w:t>
      </w:r>
    </w:p>
    <w:p w14:paraId="056BF587" w14:textId="6E3C382D" w:rsidR="008C3B42" w:rsidRDefault="0078339C">
      <w:pPr>
        <w:spacing w:after="120" w:line="360" w:lineRule="auto"/>
        <w:ind w:firstLine="567"/>
        <w:jc w:val="both"/>
      </w:pPr>
      <w:r>
        <w:t xml:space="preserve">Un ejemplo simplificado, que prescinde de rendimientos y comisiones, lo ilustra. Una </w:t>
      </w:r>
      <w:proofErr w:type="spellStart"/>
      <w:r>
        <w:t>PyME</w:t>
      </w:r>
      <w:proofErr w:type="spellEnd"/>
      <w:r>
        <w:t xml:space="preserve"> con veinte trabajadores acumula por año el equivalente a unas 6,5 remuneraciones mensuales; el despido sin causa de un trabajador con cinco años de antigüedad insume aproximadamente cinco remuneraciones por antigüedad, una de preaviso y, eventualmente, la integración. Una gran empresa con cien trabajadores acumula por año unas 13 remuneraciones; el despido de un trabajador con diez años de antigüedad insume diez por antigüedad y dos de preaviso, además de la integración. En ambos casos el fondo alcanza, una vez superada la carencia, para cubrir aproximadamente un despido promedio por año cada veinte o cada cien trabajadores, según el caso.</w:t>
      </w:r>
    </w:p>
    <w:p w14:paraId="056BF588" w14:textId="22D2BB8D" w:rsidR="008C3B42" w:rsidRDefault="0078339C">
      <w:pPr>
        <w:spacing w:after="120" w:line="360" w:lineRule="auto"/>
        <w:ind w:firstLine="567"/>
        <w:jc w:val="both"/>
      </w:pPr>
      <w:r>
        <w:t>La conclusión es que el FAL funciona como un colchón para extinciones esporádicas, pero no para las situaciones de crisis que justifican su existencia. Cuando una empresa atraviesa dificultades y debe reducir personal, las extinciones se concentran en el tiempo y el pozo común se agota rápidamente</w:t>
      </w:r>
      <w:r w:rsidR="009A49B1">
        <w:t>, e</w:t>
      </w:r>
      <w:r>
        <w:t>s decir, el fondo es suficiente cuando menos se lo necesita e insuficiente cuando más se lo necesita</w:t>
      </w:r>
      <w:r w:rsidR="009A49B1">
        <w:t>, sumando a e</w:t>
      </w:r>
      <w:r>
        <w:t xml:space="preserve">llo que durante los primeros </w:t>
      </w:r>
      <w:r>
        <w:lastRenderedPageBreak/>
        <w:t>seis meses de funcionamiento no cubre nada, y que durante los primeros años su saldo será necesariamente exiguo.</w:t>
      </w:r>
    </w:p>
    <w:p w14:paraId="056BF589" w14:textId="0971CC65" w:rsidR="008C3B42" w:rsidRPr="009A49B1" w:rsidRDefault="0078339C">
      <w:pPr>
        <w:pStyle w:val="Ttulo2"/>
        <w:keepNext/>
        <w:spacing w:before="240" w:after="120"/>
        <w:rPr>
          <w:b/>
          <w:bCs/>
          <w:i w:val="0"/>
          <w:iCs w:val="0"/>
        </w:rPr>
      </w:pPr>
      <w:r w:rsidRPr="009A49B1">
        <w:rPr>
          <w:b/>
          <w:bCs/>
          <w:i w:val="0"/>
          <w:iCs w:val="0"/>
        </w:rPr>
        <w:t>IV.3. El incentivo real: no usar el fondo</w:t>
      </w:r>
      <w:r w:rsidR="009A49B1" w:rsidRPr="009A49B1">
        <w:rPr>
          <w:b/>
          <w:bCs/>
          <w:i w:val="0"/>
          <w:iCs w:val="0"/>
        </w:rPr>
        <w:t>.</w:t>
      </w:r>
    </w:p>
    <w:p w14:paraId="056BF58A" w14:textId="4BA30EA3" w:rsidR="008C3B42" w:rsidRDefault="00F70D61">
      <w:pPr>
        <w:spacing w:after="120" w:line="360" w:lineRule="auto"/>
        <w:ind w:firstLine="567"/>
        <w:jc w:val="both"/>
      </w:pPr>
      <w:r w:rsidRPr="00F70D61">
        <w:t>Si el fondo cubre poco y, además, pagar con recursos propios permite una deducción inmediata mientras el remanente del fondo difiere su tributación, el comportamiento racional de un empleador con liquidez será pagar las indemnizaciones directamente y dejar que la cuenta crezca</w:t>
      </w:r>
      <w:r>
        <w:t>.</w:t>
      </w:r>
      <w:r w:rsidR="0078339C">
        <w:t xml:space="preserve"> Llegado el momento, podrá solicitar la suspensión de las contribuciones si el saldo cubre las contingencias (art. 66), o la extinción de la cuenta si acredita su inexistencia (art. 72), y recuperar el remanente.</w:t>
      </w:r>
    </w:p>
    <w:p w14:paraId="7BB271BA" w14:textId="18174FC1" w:rsidR="00F70D61" w:rsidRDefault="0078339C" w:rsidP="00765C0C">
      <w:pPr>
        <w:spacing w:after="120" w:line="360" w:lineRule="auto"/>
        <w:ind w:firstLine="567"/>
        <w:jc w:val="both"/>
      </w:pPr>
      <w:r>
        <w:t>Visto así, el FAL no es un instrumento de asistencia laboral sino una cuenta de ahorro corporativo, con beneficios fiscales, inembargable, financiada con contribuciones que la ley destinaba a la seguridad social y cuyo uso para pagar indemnizaciones es optativo y, en términos tributarios, desaconsejado</w:t>
      </w:r>
      <w:r w:rsidR="009A49B1">
        <w:t>, además que solamente aparecerán como directos beneficiarios las entidades financieras operantes en el sistema</w:t>
      </w:r>
      <w:r>
        <w:t>. Solo el empleador sin liquidez, que es también el de mayor riesgo de incumplimiento, tendrá incentivos para utilizarlo, y es justamente ese empleador el que tendrá un saldo más exiguo.</w:t>
      </w:r>
    </w:p>
    <w:p w14:paraId="056BF58C" w14:textId="77777777" w:rsidR="008C3B42" w:rsidRDefault="0078339C">
      <w:pPr>
        <w:pStyle w:val="Ttulo1"/>
        <w:keepNext/>
        <w:spacing w:before="360" w:after="180"/>
      </w:pPr>
      <w:r>
        <w:t>V. La depreciación de los recursos acumulados</w:t>
      </w:r>
    </w:p>
    <w:p w14:paraId="056BF58D" w14:textId="11D9C0FB" w:rsidR="008C3B42" w:rsidRDefault="0078339C">
      <w:pPr>
        <w:pStyle w:val="Ttulo2"/>
        <w:keepNext/>
        <w:spacing w:before="240" w:after="120"/>
      </w:pPr>
      <w:r>
        <w:t>V.1. Qué se puede comprar con el fondo</w:t>
      </w:r>
      <w:r w:rsidR="009A49B1">
        <w:t>.</w:t>
      </w:r>
    </w:p>
    <w:p w14:paraId="056BF58E" w14:textId="77777777" w:rsidR="008C3B42" w:rsidRDefault="0078339C">
      <w:pPr>
        <w:spacing w:after="120" w:line="360" w:lineRule="auto"/>
        <w:ind w:firstLine="567"/>
        <w:jc w:val="both"/>
      </w:pPr>
      <w:r>
        <w:t xml:space="preserve">La Resolución 1276/2026 del Ministerio de Economía enuncia como principios los de seguridad, liquidez, diversificación, transparencia y preservación del capital, y declara que los recursos deben invertirse "con el objeto de preservar el valor de los aportes efectuados por los empleadores" (art. 1°). Los instrumentos elegibles son solo cuatro: títulos de deuda del Estado Nacional, títulos de deuda de las provincias y de la Ciudad Autónoma de Buenos Aires, depósitos en entidades financieras autorizadas por el BCRA y obligaciones negociables de emisores privados (art. 2°). Los títulos </w:t>
      </w:r>
      <w:proofErr w:type="spellStart"/>
      <w:r>
        <w:t>subsoberanos</w:t>
      </w:r>
      <w:proofErr w:type="spellEnd"/>
      <w:r>
        <w:t xml:space="preserve"> y las obligaciones negociables deben contar con calificación "AAA" en escala nacional otorgada por al menos dos agentes de calificación (art. 3°). Las modalidades de rendimiento admitidas son la tasa fija, la tasa TAMAR, el ajuste por CER y el ajuste por tipo de cambio, este último con un límite agregado del 10% (arts. 4° y 5°). Todos los activos deben estar integrados y ser pagaderos en pesos (art. 9°), y debe mantenerse al menos un 10% en activos de alta liquidez (art. 8°).</w:t>
      </w:r>
    </w:p>
    <w:p w14:paraId="056BF58F" w14:textId="20E13773" w:rsidR="008C3B42" w:rsidRDefault="0078339C">
      <w:pPr>
        <w:spacing w:after="120" w:line="360" w:lineRule="auto"/>
        <w:ind w:firstLine="567"/>
        <w:jc w:val="both"/>
      </w:pPr>
      <w:r>
        <w:lastRenderedPageBreak/>
        <w:t xml:space="preserve">Los límites de diversificación merecen atención: los depósitos en una misma entidad no pueden superar el 15%; la deuda provincial y de la Ciudad, el 15% agregado y el 5% por jurisdicción; las obligaciones negociables, el 20% agregado y el 10% por emisor (art. 5°). La deuda del Estado Nacional, en cambio, no tiene límite alguno. Un FAL </w:t>
      </w:r>
      <w:r w:rsidR="00765C0C">
        <w:t xml:space="preserve">parece poder en principio y </w:t>
      </w:r>
      <w:r>
        <w:t>sin infringir norma alguna, estar invertido casi íntegramente en títulos del Tesoro.</w:t>
      </w:r>
    </w:p>
    <w:p w14:paraId="056BF590" w14:textId="515B5CDA" w:rsidR="008C3B42" w:rsidRPr="00765C0C" w:rsidRDefault="0078339C">
      <w:pPr>
        <w:pStyle w:val="Ttulo2"/>
        <w:keepNext/>
        <w:spacing w:before="240" w:after="120"/>
        <w:rPr>
          <w:b/>
          <w:bCs/>
          <w:i w:val="0"/>
          <w:iCs w:val="0"/>
        </w:rPr>
      </w:pPr>
      <w:r w:rsidRPr="00765C0C">
        <w:rPr>
          <w:b/>
          <w:bCs/>
          <w:i w:val="0"/>
          <w:iCs w:val="0"/>
        </w:rPr>
        <w:t>V.2. El costo de administración</w:t>
      </w:r>
      <w:r w:rsidR="00765C0C" w:rsidRPr="00765C0C">
        <w:rPr>
          <w:b/>
          <w:bCs/>
          <w:i w:val="0"/>
          <w:iCs w:val="0"/>
        </w:rPr>
        <w:t>.</w:t>
      </w:r>
    </w:p>
    <w:p w14:paraId="056BF591" w14:textId="77777777" w:rsidR="008C3B42" w:rsidRDefault="0078339C">
      <w:pPr>
        <w:spacing w:after="120" w:line="360" w:lineRule="auto"/>
        <w:ind w:firstLine="567"/>
        <w:jc w:val="both"/>
      </w:pPr>
      <w:r>
        <w:t>A lo anterior se suma una comisión de hasta el 1% anual, calculada sobre el total de los activos administrados (</w:t>
      </w:r>
      <w:proofErr w:type="spellStart"/>
      <w:r>
        <w:t>dec</w:t>
      </w:r>
      <w:proofErr w:type="spellEnd"/>
      <w:r>
        <w:t>. 408/2026, art. 20). Que la resolución general CNV 1167/2026 haya precisado que ese tope es global e incluye el IVA es una buena noticia para el empleador, pero no altera el dato central: un vehículo cuyo objetivo declarado es preservar el valor de los aportes debe obtener un rendimiento real superior al 1% anual solo para no perder frente a su propio costo de administración.</w:t>
      </w:r>
    </w:p>
    <w:p w14:paraId="056BF592" w14:textId="7B18EAA0" w:rsidR="008C3B42" w:rsidRPr="00765C0C" w:rsidRDefault="0078339C">
      <w:pPr>
        <w:pStyle w:val="Ttulo2"/>
        <w:keepNext/>
        <w:spacing w:before="240" w:after="120"/>
        <w:rPr>
          <w:b/>
          <w:bCs/>
          <w:i w:val="0"/>
          <w:iCs w:val="0"/>
        </w:rPr>
      </w:pPr>
      <w:r w:rsidRPr="00765C0C">
        <w:rPr>
          <w:b/>
          <w:bCs/>
          <w:i w:val="0"/>
          <w:iCs w:val="0"/>
        </w:rPr>
        <w:t>V.3. El desfase entre el fondo y la obligación que pretende cubrir</w:t>
      </w:r>
      <w:r w:rsidR="00765C0C">
        <w:rPr>
          <w:b/>
          <w:bCs/>
          <w:i w:val="0"/>
          <w:iCs w:val="0"/>
        </w:rPr>
        <w:t>.</w:t>
      </w:r>
    </w:p>
    <w:p w14:paraId="056BF593" w14:textId="77777777" w:rsidR="008C3B42" w:rsidRDefault="0078339C">
      <w:pPr>
        <w:spacing w:after="120" w:line="360" w:lineRule="auto"/>
        <w:ind w:firstLine="567"/>
        <w:jc w:val="both"/>
      </w:pPr>
      <w:r>
        <w:t>El problema de fondo es otro. La obligación que el FAL pretende atender se calcula sobre la mejor remuneración mensual, normal y habitual del último año, es decir, se actualiza con la evolución de los salarios. El fondo, en cambio, evoluciona según el rendimiento de sus inversiones, neto de comisiones. Cuando los salarios crecen más que ese rendimiento, la proporción de la obligación que el fondo puede cubrir disminuye año tras año, aunque el fondo no pierda valor en términos nominales ni, incluso, en términos de precios.</w:t>
      </w:r>
    </w:p>
    <w:p w14:paraId="056BF594" w14:textId="77777777" w:rsidR="008C3B42" w:rsidRDefault="0078339C">
      <w:pPr>
        <w:spacing w:after="120" w:line="360" w:lineRule="auto"/>
        <w:ind w:firstLine="567"/>
        <w:jc w:val="both"/>
      </w:pPr>
      <w:r>
        <w:t>La propia resolución ministerial revela el punto: el instrumento de preservación que admite es el ajuste por CER, que sigue la evolución de los precios y no la de los salarios. "Preservar el valor de los aportes" no es lo mismo que preservar la capacidad del fondo de pagar las indemnizaciones. En una economía en la que la remuneración bruta promedio del sector privado registrado creció, según datos oficiales, un 31,6% nominal interanual a marzo de 2026</w:t>
      </w:r>
      <w:r>
        <w:rPr>
          <w:rStyle w:val="Refdenotaalpie"/>
        </w:rPr>
        <w:footnoteReference w:id="9"/>
      </w:r>
      <w:r>
        <w:t>, la diferencia entre ambos índices no es un detalle técnico.</w:t>
      </w:r>
    </w:p>
    <w:p w14:paraId="056BF595" w14:textId="77777777" w:rsidR="008C3B42" w:rsidRDefault="0078339C">
      <w:pPr>
        <w:spacing w:after="120" w:line="360" w:lineRule="auto"/>
        <w:ind w:firstLine="567"/>
        <w:jc w:val="both"/>
      </w:pPr>
      <w:r>
        <w:t xml:space="preserve">¿Quién soporta esa depreciación? Formalmente, el empleador, que debe completar con recursos propios lo que el fondo no cubra (arts. 64 y 68). Pero en términos económicos la soporta el sistema de seguridad social, porque la contribución que dejó de percibir no se recupera en ningún caso, y lo que se pierde por rendimientos reales negativos o por comisiones es una fracción de recursos de la seguridad social que se evapora en el camino. </w:t>
      </w:r>
      <w:r>
        <w:lastRenderedPageBreak/>
        <w:t>La analogía con el régimen de capitalización de las AFJP, que evoqué respecto del fondo de cese, es aquí todavía más pertinente: se trata de recursos previsionales, administrados por entidades privadas que perciben una comisión sobre activos, invertidos mayoritariamente en deuda pública.</w:t>
      </w:r>
    </w:p>
    <w:p w14:paraId="056BF596" w14:textId="05EDF0A4" w:rsidR="008C3B42" w:rsidRPr="00765C0C" w:rsidRDefault="0078339C">
      <w:pPr>
        <w:pStyle w:val="Ttulo2"/>
        <w:keepNext/>
        <w:spacing w:before="240" w:after="120"/>
        <w:rPr>
          <w:b/>
          <w:bCs/>
          <w:i w:val="0"/>
          <w:iCs w:val="0"/>
        </w:rPr>
      </w:pPr>
      <w:r w:rsidRPr="00765C0C">
        <w:rPr>
          <w:b/>
          <w:bCs/>
          <w:i w:val="0"/>
          <w:iCs w:val="0"/>
        </w:rPr>
        <w:t>V.4. Una demanda cautiva de deuda pública</w:t>
      </w:r>
      <w:r w:rsidR="00765C0C" w:rsidRPr="00765C0C">
        <w:rPr>
          <w:b/>
          <w:bCs/>
          <w:i w:val="0"/>
          <w:iCs w:val="0"/>
        </w:rPr>
        <w:t>.</w:t>
      </w:r>
    </w:p>
    <w:p w14:paraId="056BF597" w14:textId="6C6A69D2" w:rsidR="008C3B42" w:rsidRDefault="0078339C">
      <w:pPr>
        <w:spacing w:after="120" w:line="360" w:lineRule="auto"/>
        <w:ind w:firstLine="567"/>
        <w:jc w:val="both"/>
      </w:pPr>
      <w:r>
        <w:t>La ausencia de límite para la deuda del Estado Nacional, la obligación de invertir exclusivamente en pesos y en el mercado local (</w:t>
      </w:r>
      <w:proofErr w:type="spellStart"/>
      <w:r>
        <w:t>dec</w:t>
      </w:r>
      <w:proofErr w:type="spellEnd"/>
      <w:r>
        <w:t>. 408/2026, art. 11) y la escasez relativa de obligaciones negociables con doble calificación "AAA" conducen a un resultado previsible</w:t>
      </w:r>
      <w:r w:rsidR="00765C0C">
        <w:t xml:space="preserve"> y es que </w:t>
      </w:r>
      <w:r>
        <w:t>una parte sustancial de los recursos del FAL se destinará a títulos del Tesoro</w:t>
      </w:r>
      <w:r w:rsidR="00765C0C">
        <w:t xml:space="preserve"> con lo que el</w:t>
      </w:r>
      <w:r>
        <w:t xml:space="preserve"> circuito se cierra de manera curiosa. La seguridad social deja de percibir contribuciones, esas contribuciones se depositan en cuentas privadas, y con ellas se compran títulos de la deuda pública nacional</w:t>
      </w:r>
      <w:r w:rsidR="00765C0C">
        <w:t xml:space="preserve">, es decir </w:t>
      </w:r>
      <w:proofErr w:type="gramStart"/>
      <w:r w:rsidR="00765C0C">
        <w:t>que</w:t>
      </w:r>
      <w:proofErr w:type="gramEnd"/>
      <w:r w:rsidR="00765C0C">
        <w:t xml:space="preserve"> por </w:t>
      </w:r>
      <w:r>
        <w:t>una vía indirecta, la seguridad social termina financiando al Tesoro, con la intermediación remunerada de entidades del mercado de capitales. El considerando del decreto 408/2026 no lo oculta, cuando justifica la restricción geográfica "con el objeto de promover la inversión productiva local".</w:t>
      </w:r>
    </w:p>
    <w:p w14:paraId="056BF598" w14:textId="496A91F4" w:rsidR="008C3B42" w:rsidRDefault="0078339C">
      <w:pPr>
        <w:pStyle w:val="Ttulo1"/>
        <w:keepNext/>
        <w:spacing w:before="360" w:after="180"/>
      </w:pPr>
      <w:r>
        <w:t>VI. De cuántos fondos hablamos</w:t>
      </w:r>
      <w:r w:rsidR="00765C0C">
        <w:t>.</w:t>
      </w:r>
    </w:p>
    <w:p w14:paraId="056BF599" w14:textId="77777777" w:rsidR="008C3B42" w:rsidRDefault="0078339C">
      <w:pPr>
        <w:spacing w:after="120" w:line="360" w:lineRule="auto"/>
        <w:ind w:firstLine="567"/>
        <w:jc w:val="both"/>
      </w:pPr>
      <w:r>
        <w:t>Para dimensionar el régimen es necesario estimar la masa salarial alcanzada. Según el informe del Instituto Interdisciplinario de Economía Política de la Universidad de Buenos Aires elaborado sobre datos del SIPA, en mayo de 2026 existían 241 mil puestos de trabajo asalariados formales en el sector privado menos que en noviembre de 2023</w:t>
      </w:r>
      <w:r>
        <w:rPr>
          <w:rStyle w:val="Refdenotaalpie"/>
        </w:rPr>
        <w:footnoteReference w:id="10"/>
      </w:r>
      <w:r>
        <w:t>, mes en que el número de asalariados privados registrados ascendía a 6.361.300</w:t>
      </w:r>
      <w:r>
        <w:rPr>
          <w:rStyle w:val="Refdenotaalpie"/>
        </w:rPr>
        <w:footnoteReference w:id="11"/>
      </w:r>
      <w:r>
        <w:t>. De ello se sigue una cifra actual del orden de 6,12 millones de asalariados privados registrados. La remuneración bruta promedio de marzo de 2026 fue, según el informe oficial ya citado, de $2.207.129.</w:t>
      </w:r>
    </w:p>
    <w:p w14:paraId="056BF59A" w14:textId="77777777" w:rsidR="008C3B42" w:rsidRDefault="0078339C">
      <w:pPr>
        <w:spacing w:after="120" w:line="360" w:lineRule="auto"/>
        <w:ind w:firstLine="567"/>
        <w:jc w:val="both"/>
      </w:pPr>
      <w:r>
        <w:t xml:space="preserve">La masa salarial mensual del sector privado registrado ronda, entonces, los $13,5 billones. Aplicando la alícuota del 1% resultaría un flujo mensual de aproximadamente $135.000 millones; aplicando la del 2,5%, de aproximadamente $338.000 millones. Al tipo de cambio oficial de septiembre de 2026, cercano a $1.535 por dólar, ello equivale a un flujo de entre 88 y 220 millones de dólares por mes, es decir, entre 1.050 y 2.650 millones de </w:t>
      </w:r>
      <w:r>
        <w:lastRenderedPageBreak/>
        <w:t xml:space="preserve">dólares por año. El volumen real se ubicará entre ambos extremos, según la proporción del empleo privado que corresponda a empresas certificadas como </w:t>
      </w:r>
      <w:proofErr w:type="spellStart"/>
      <w:r>
        <w:t>MiPyMEs</w:t>
      </w:r>
      <w:proofErr w:type="spellEnd"/>
      <w:r>
        <w:rPr>
          <w:rStyle w:val="Refdenotaalpie"/>
        </w:rPr>
        <w:footnoteReference w:id="12"/>
      </w:r>
      <w:r>
        <w:t>.</w:t>
      </w:r>
    </w:p>
    <w:p w14:paraId="056BF59B" w14:textId="1369C722" w:rsidR="008C3B42" w:rsidRDefault="0078339C">
      <w:pPr>
        <w:spacing w:after="120" w:line="360" w:lineRule="auto"/>
        <w:ind w:firstLine="567"/>
        <w:jc w:val="both"/>
      </w:pPr>
      <w:r>
        <w:t>Prescindiendo de rendimientos y de pagos, en cinco años el stock acumulado se ubicaría entre 5.000 y 13.000 millones de dólares. Aunque la cifra es menor que la que estimé para el fondo de cese con una contribución hipotética del 8%, tiene una diferencia cualitativa decisiva</w:t>
      </w:r>
      <w:r w:rsidR="00765C0C">
        <w:t xml:space="preserve">, y es que </w:t>
      </w:r>
      <w:r>
        <w:t>aquel era optativo y dependía de la negociación colectiva, mientras que este es obligatorio y general. Y cada peso de ese flujo es, como se vio, un peso que deja de ingresar a la seguridad social.</w:t>
      </w:r>
    </w:p>
    <w:p w14:paraId="056BF59C" w14:textId="5C09255D" w:rsidR="008C3B42" w:rsidRDefault="0078339C">
      <w:pPr>
        <w:pStyle w:val="Ttulo1"/>
        <w:keepNext/>
        <w:spacing w:before="360" w:after="180"/>
      </w:pPr>
      <w:r>
        <w:t>VII. La exención antilavado de la Resolución UIF 109/2026</w:t>
      </w:r>
      <w:r w:rsidR="00765C0C">
        <w:t>.</w:t>
      </w:r>
    </w:p>
    <w:p w14:paraId="056BF59D" w14:textId="65EB3B99" w:rsidR="008C3B42" w:rsidRPr="00765C0C" w:rsidRDefault="0078339C">
      <w:pPr>
        <w:pStyle w:val="Ttulo2"/>
        <w:keepNext/>
        <w:spacing w:before="240" w:after="120"/>
        <w:rPr>
          <w:b/>
          <w:bCs/>
        </w:rPr>
      </w:pPr>
      <w:r w:rsidRPr="00765C0C">
        <w:rPr>
          <w:b/>
          <w:bCs/>
        </w:rPr>
        <w:t>VII.1. El contenido de la norma</w:t>
      </w:r>
      <w:r w:rsidR="00765C0C" w:rsidRPr="00765C0C">
        <w:rPr>
          <w:b/>
          <w:bCs/>
        </w:rPr>
        <w:t>.</w:t>
      </w:r>
    </w:p>
    <w:p w14:paraId="056BF59E" w14:textId="77777777" w:rsidR="008C3B42" w:rsidRDefault="0078339C">
      <w:pPr>
        <w:spacing w:after="120" w:line="360" w:lineRule="auto"/>
        <w:ind w:firstLine="567"/>
        <w:jc w:val="both"/>
      </w:pPr>
      <w:r>
        <w:t>La Resolución UIF 109/2026 modificó la Resolución UIF 78/2023, que regula las obligaciones de prevención del lavado de activos, la financiación del terrorismo y el financiamiento de la proliferación de armas de destrucción masiva de los sujetos obligados del mercado de capitales. Además de actualizar las referencias a los incisos del art. 20 de la ley 25.246 (arts. 1° y 3°), incorporó un art. 3° bis con dos niveles de exención.</w:t>
      </w:r>
    </w:p>
    <w:p w14:paraId="056BF59F" w14:textId="77777777" w:rsidR="008C3B42" w:rsidRDefault="0078339C">
      <w:pPr>
        <w:spacing w:after="120" w:line="360" w:lineRule="auto"/>
        <w:ind w:firstLine="567"/>
        <w:jc w:val="both"/>
      </w:pPr>
      <w:r>
        <w:t xml:space="preserve">En el primer nivel, los aportes efectuados en cumplimiento del art. 61, </w:t>
      </w:r>
      <w:proofErr w:type="spellStart"/>
      <w:r>
        <w:t>incs</w:t>
      </w:r>
      <w:proofErr w:type="spellEnd"/>
      <w:r>
        <w:t xml:space="preserve">. a) y b), de la ley 27.802, esto es, las contribuciones mensuales obligatorias y los rendimientos de las inversiones, quedan exceptuados "de la aplicación de las medidas, controles, procedimientos y </w:t>
      </w:r>
      <w:proofErr w:type="gramStart"/>
      <w:r>
        <w:t>demás obligaciones previstos</w:t>
      </w:r>
      <w:proofErr w:type="gramEnd"/>
      <w:r>
        <w:t xml:space="preserve"> en la normativa aplicable". En el segundo nivel, las contribuciones voluntarias, donaciones, legados y cualquier otro ingreso (art. 61, </w:t>
      </w:r>
      <w:proofErr w:type="spellStart"/>
      <w:r>
        <w:t>incs</w:t>
      </w:r>
      <w:proofErr w:type="spellEnd"/>
      <w:r>
        <w:t xml:space="preserve">. c, d y e) quedan igualmente exceptuados, "siempre que la normativa vigente aplicable establezca la prohibición del rescate de las </w:t>
      </w:r>
      <w:proofErr w:type="spellStart"/>
      <w:r>
        <w:t>cuotapartes</w:t>
      </w:r>
      <w:proofErr w:type="spellEnd"/>
      <w:r>
        <w:t xml:space="preserve"> o certificados de participación emitidos por los FAL con excepción de los supuestos contemplados en el artículo 72" de la ley. La norma aclara que la exención se limita a esos fondos y operaciones y no modifica la condición de sujeto obligado de las entidades.</w:t>
      </w:r>
    </w:p>
    <w:p w14:paraId="056BF5A0" w14:textId="77777777" w:rsidR="008C3B42" w:rsidRDefault="0078339C">
      <w:pPr>
        <w:spacing w:after="120" w:line="360" w:lineRule="auto"/>
        <w:ind w:firstLine="567"/>
        <w:jc w:val="both"/>
      </w:pPr>
      <w:r>
        <w:t>Se trata, entonces, de una exención objetiva, referida a determinados flujos, y no subjetiva. Las sociedades gerentes y los fiduciarios siguen siendo sujetos obligados, pero respecto de los ingresos de los FAL no deben aplicar medida alguna.</w:t>
      </w:r>
    </w:p>
    <w:p w14:paraId="056BF5A1" w14:textId="0C5A3C1E" w:rsidR="008C3B42" w:rsidRPr="00765C0C" w:rsidRDefault="0078339C">
      <w:pPr>
        <w:pStyle w:val="Ttulo2"/>
        <w:keepNext/>
        <w:spacing w:before="240" w:after="120"/>
        <w:rPr>
          <w:b/>
          <w:bCs/>
          <w:i w:val="0"/>
          <w:iCs w:val="0"/>
        </w:rPr>
      </w:pPr>
      <w:r w:rsidRPr="00765C0C">
        <w:rPr>
          <w:b/>
          <w:bCs/>
          <w:i w:val="0"/>
          <w:iCs w:val="0"/>
        </w:rPr>
        <w:lastRenderedPageBreak/>
        <w:t>VII.2. Los fundamentos invocados</w:t>
      </w:r>
      <w:r w:rsidR="00765C0C" w:rsidRPr="00765C0C">
        <w:rPr>
          <w:b/>
          <w:bCs/>
          <w:i w:val="0"/>
          <w:iCs w:val="0"/>
        </w:rPr>
        <w:t>.</w:t>
      </w:r>
    </w:p>
    <w:p w14:paraId="056BF5A2" w14:textId="3333237F" w:rsidR="008C3B42" w:rsidRDefault="0078339C">
      <w:pPr>
        <w:spacing w:after="120" w:line="360" w:lineRule="auto"/>
        <w:ind w:firstLine="567"/>
        <w:jc w:val="both"/>
      </w:pPr>
      <w:r>
        <w:t>Los considerandos enumeran los elementos que, a criterio de la UIF, configuran un "perfil de riesgo objetivamente reducido"</w:t>
      </w:r>
      <w:r w:rsidR="00765C0C">
        <w:t xml:space="preserve">, y que son </w:t>
      </w:r>
      <w:r>
        <w:t>la finalidad legal específica</w:t>
      </w:r>
      <w:r w:rsidR="00765C0C">
        <w:t xml:space="preserve">, </w:t>
      </w:r>
      <w:r>
        <w:t>la identificación del empleador mediante su CUIT y del vehículo mediante el ID FAL</w:t>
      </w:r>
      <w:r w:rsidR="00765C0C">
        <w:t>,</w:t>
      </w:r>
      <w:r>
        <w:t xml:space="preserve"> "la canalización mayoritaria de aportes" a través de la ARCA</w:t>
      </w:r>
      <w:r w:rsidR="00765C0C">
        <w:t>,</w:t>
      </w:r>
      <w:r>
        <w:t xml:space="preserve"> la "trazabilidad integral de los recursos"</w:t>
      </w:r>
      <w:r w:rsidR="00765C0C">
        <w:t>,</w:t>
      </w:r>
      <w:r>
        <w:t xml:space="preserve"> la limitación de los activos elegibles y su restricción al mercado local</w:t>
      </w:r>
      <w:r w:rsidR="00765C0C">
        <w:t>,</w:t>
      </w:r>
      <w:r>
        <w:t xml:space="preserve"> la supervisión de la CNV</w:t>
      </w:r>
      <w:r w:rsidR="00765C0C">
        <w:t>,</w:t>
      </w:r>
      <w:r>
        <w:t xml:space="preserve"> y la imposibilidad de rescate, "salvo los supuestos expresamente previstos por la Ley </w:t>
      </w:r>
      <w:proofErr w:type="spellStart"/>
      <w:r>
        <w:t>N°</w:t>
      </w:r>
      <w:proofErr w:type="spellEnd"/>
      <w:r>
        <w:t xml:space="preserve"> 27.802". Invocan</w:t>
      </w:r>
      <w:r w:rsidR="00765C0C">
        <w:t xml:space="preserve"> </w:t>
      </w:r>
      <w:r>
        <w:t>como fundamento el enfoque basado en riesgo de la Recomendación 1 del GAFI.</w:t>
      </w:r>
    </w:p>
    <w:p w14:paraId="056BF5A3" w14:textId="6284853B" w:rsidR="008C3B42" w:rsidRDefault="0078339C">
      <w:pPr>
        <w:spacing w:after="120" w:line="360" w:lineRule="auto"/>
        <w:ind w:firstLine="567"/>
        <w:jc w:val="both"/>
      </w:pPr>
      <w:r>
        <w:t>Los considerandos informan también el origen de la medida</w:t>
      </w:r>
      <w:r w:rsidR="00765C0C">
        <w:t>, y es</w:t>
      </w:r>
      <w:r>
        <w:t xml:space="preserve"> una nota de la CNV que remitió "una sugerencia de modificación normativa" (NO-2026-89927596-APN-CNV#MEC). La resolución se dictó el 17 de septiembre de 2026, al día siguiente de la resolución general CNV 1167/2026, y no hace referencia a ninguna evaluación de riesgo documentada ni a las Evaluaciones Nacionales de Riesgo aprobadas por los decretos 652/2022 y 653/2022.</w:t>
      </w:r>
    </w:p>
    <w:p w14:paraId="056BF5A4" w14:textId="10F805A6" w:rsidR="008C3B42" w:rsidRPr="00765C0C" w:rsidRDefault="0078339C">
      <w:pPr>
        <w:pStyle w:val="Ttulo2"/>
        <w:keepNext/>
        <w:spacing w:before="240" w:after="120"/>
        <w:rPr>
          <w:b/>
          <w:bCs/>
          <w:i w:val="0"/>
          <w:iCs w:val="0"/>
        </w:rPr>
      </w:pPr>
      <w:r w:rsidRPr="00765C0C">
        <w:rPr>
          <w:b/>
          <w:bCs/>
          <w:i w:val="0"/>
          <w:iCs w:val="0"/>
        </w:rPr>
        <w:t>VII.3. Exención no es diligencia simplificada</w:t>
      </w:r>
      <w:r w:rsidR="00765C0C" w:rsidRPr="00765C0C">
        <w:rPr>
          <w:b/>
          <w:bCs/>
          <w:i w:val="0"/>
          <w:iCs w:val="0"/>
        </w:rPr>
        <w:t>.</w:t>
      </w:r>
    </w:p>
    <w:p w14:paraId="056BF5A5" w14:textId="51BD5CB0" w:rsidR="008C3B42" w:rsidRDefault="0078339C">
      <w:pPr>
        <w:spacing w:after="120" w:line="360" w:lineRule="auto"/>
        <w:ind w:firstLine="567"/>
        <w:jc w:val="both"/>
      </w:pPr>
      <w:r>
        <w:t>El enfoque basado en riesgo que la UIF invoca autoriza, ante riesgos menores, la adopción de medidas simplificadas, no la supresión de toda medida</w:t>
      </w:r>
      <w:r w:rsidR="00765C0C">
        <w:t xml:space="preserve"> y l</w:t>
      </w:r>
      <w:r>
        <w:t>a nota interpretativa de la Recomendación 1 del GAFI admite que un país decida no aplicar alguna recomendación respecto de un tipo de actividad solo cuando existe un riesgo bajo demostrado, en circunstancias estrictamente limitadas y justificadas</w:t>
      </w:r>
      <w:r>
        <w:rPr>
          <w:rStyle w:val="Refdenotaalpie"/>
        </w:rPr>
        <w:footnoteReference w:id="13"/>
      </w:r>
      <w:r>
        <w:t>.</w:t>
      </w:r>
    </w:p>
    <w:p w14:paraId="056BF5A6" w14:textId="28AFC1D3" w:rsidR="008C3B42" w:rsidRDefault="0078339C">
      <w:pPr>
        <w:spacing w:after="120" w:line="360" w:lineRule="auto"/>
        <w:ind w:firstLine="567"/>
        <w:jc w:val="both"/>
      </w:pPr>
      <w:r>
        <w:t>La propia UIF ha sido exigente con ese estándar cuando se trata de otros sujetos. La Resolución UIF 49/2024, aplicable a los proveedores de servicios de activos virtuales, admite medidas simplificadas solo "en casos de bajo riesgo constatado", y entiende por tal que el sujeto obligado esté en condiciones de aportar "tablas, bases estadísticas, documentación analítica u otros soportes" que acrediten la ausencia de factores de riesgo o su carácter marginal (art. 7°). Esa misma resolución invocaba, en sus considerandos, las vulnerabilidades identificadas en las Evaluaciones Nacionales de Riesgo. La Resolución 109/2026, en cambio, concede una exención total sin exhibir soporte equivalente</w:t>
      </w:r>
      <w:r w:rsidR="00765C0C">
        <w:t>, sino que</w:t>
      </w:r>
      <w:r>
        <w:t xml:space="preserve"> </w:t>
      </w:r>
      <w:r>
        <w:lastRenderedPageBreak/>
        <w:t>infiere el riesgo reducido de las características del producto, sobre la base de una sugerencia del organismo que lo regula.</w:t>
      </w:r>
    </w:p>
    <w:p w14:paraId="056BF5A7" w14:textId="116D10E0" w:rsidR="008C3B42" w:rsidRPr="00765C0C" w:rsidRDefault="0078339C">
      <w:pPr>
        <w:pStyle w:val="Ttulo2"/>
        <w:keepNext/>
        <w:spacing w:before="240" w:after="120"/>
        <w:rPr>
          <w:b/>
          <w:bCs/>
          <w:i w:val="0"/>
          <w:iCs w:val="0"/>
        </w:rPr>
      </w:pPr>
      <w:r w:rsidRPr="00765C0C">
        <w:rPr>
          <w:b/>
          <w:bCs/>
          <w:i w:val="0"/>
          <w:iCs w:val="0"/>
        </w:rPr>
        <w:t xml:space="preserve">VII.4. </w:t>
      </w:r>
      <w:r w:rsidR="00765C0C">
        <w:rPr>
          <w:b/>
          <w:bCs/>
          <w:i w:val="0"/>
          <w:iCs w:val="0"/>
        </w:rPr>
        <w:t>Críticas</w:t>
      </w:r>
      <w:r w:rsidRPr="00765C0C">
        <w:rPr>
          <w:b/>
          <w:bCs/>
          <w:i w:val="0"/>
          <w:iCs w:val="0"/>
        </w:rPr>
        <w:t xml:space="preserve"> del razonamiento</w:t>
      </w:r>
      <w:r w:rsidR="00765C0C" w:rsidRPr="00765C0C">
        <w:rPr>
          <w:b/>
          <w:bCs/>
          <w:i w:val="0"/>
          <w:iCs w:val="0"/>
        </w:rPr>
        <w:t>.</w:t>
      </w:r>
    </w:p>
    <w:p w14:paraId="056BF5A8" w14:textId="77777777" w:rsidR="008C3B42" w:rsidRDefault="0078339C">
      <w:pPr>
        <w:spacing w:after="120" w:line="360" w:lineRule="auto"/>
        <w:ind w:firstLine="567"/>
        <w:jc w:val="both"/>
      </w:pPr>
      <w:r>
        <w:t>Aun aceptando que los aportes obligatorios presentan un riesgo bajo, lo que es razonable dado que provienen de una base salarial declarada y transitan por la ARCA, el razonamiento de la resolución presenta tres fisuras.</w:t>
      </w:r>
    </w:p>
    <w:p w14:paraId="056BF5A9" w14:textId="2F5986C8" w:rsidR="008C3B42" w:rsidRDefault="0078339C">
      <w:pPr>
        <w:spacing w:after="120" w:line="360" w:lineRule="auto"/>
        <w:ind w:firstLine="567"/>
        <w:jc w:val="both"/>
      </w:pPr>
      <w:r>
        <w:t xml:space="preserve">La primera es que el principal mitigante invocado, la canalización por la </w:t>
      </w:r>
      <w:proofErr w:type="gramStart"/>
      <w:r>
        <w:t>ARCA,</w:t>
      </w:r>
      <w:proofErr w:type="gramEnd"/>
      <w:r>
        <w:t xml:space="preserve"> solo alcanza a los aportes obligatorios. Los propios considerandos hablan de canalización "mayoritaria", reconociendo que no todo ingreso transita por ese canal</w:t>
      </w:r>
      <w:r w:rsidR="00765C0C">
        <w:t>, mientras que l</w:t>
      </w:r>
      <w:r>
        <w:t>as contribuciones voluntarias, las donaciones, los legados y "cualquier otro ingreso" no pasan necesariamente por la ARCA y, sin embargo, también quedan exceptuados. La ley no limita quién puede donar a un FAL ni en qué monto.</w:t>
      </w:r>
    </w:p>
    <w:p w14:paraId="056BF5AA" w14:textId="2B3C1225" w:rsidR="008C3B42" w:rsidRDefault="0078339C">
      <w:pPr>
        <w:spacing w:after="120" w:line="360" w:lineRule="auto"/>
        <w:ind w:firstLine="567"/>
        <w:jc w:val="both"/>
      </w:pPr>
      <w:r>
        <w:t>La segunda es que la imposibilidad de rescate, sobre la que descansa la exención del segundo nivel, no es absoluta, y la propia resolución lo admite al exceptuar los supuestos del art. 72. Esos supuestos son, precisamente, la vía por la cual el dinero sale del fondo hacia una cuenta bancaria del empleador</w:t>
      </w:r>
      <w:r w:rsidR="00765C0C">
        <w:t xml:space="preserve"> que serían </w:t>
      </w:r>
      <w:r>
        <w:t xml:space="preserve">el cese o disolución, la ausencia de trabajadores registrados durante seis meses y la solicitud de extinción. Un ingreso de terceros que no fue sometido a diligencia alguna puede, por esa vía, retornar al patrimonio del titular de la cuenta con la apariencia de un remanente regular de un vehículo supervisado por la CNV, transferido por orden de la autoridad laboral y, además, gravado por el impuesto a las ganancias, circunstancia que no le </w:t>
      </w:r>
      <w:proofErr w:type="gramStart"/>
      <w:r>
        <w:t>resta</w:t>
      </w:r>
      <w:proofErr w:type="gramEnd"/>
      <w:r>
        <w:t xml:space="preserve"> sino que le añade apariencia de legitimidad. Las tres etapas clásicas del lavado, colocación, estratificación e </w:t>
      </w:r>
      <w:proofErr w:type="gramStart"/>
      <w:r>
        <w:t>integración,</w:t>
      </w:r>
      <w:proofErr w:type="gramEnd"/>
      <w:r>
        <w:t xml:space="preserve"> encuentran en el diseño un correlato que la exención no se ocupa de neutralizar.</w:t>
      </w:r>
    </w:p>
    <w:p w14:paraId="056BF5AB" w14:textId="77777777" w:rsidR="008C3B42" w:rsidRDefault="0078339C">
      <w:pPr>
        <w:spacing w:after="120" w:line="360" w:lineRule="auto"/>
        <w:ind w:firstLine="567"/>
        <w:jc w:val="both"/>
      </w:pPr>
      <w:r>
        <w:t>La tercera fisura está del lado del egreso. La exención alcanza a los ingresos, no a los pagos, por lo que en principio estos siguen sometidos a la normativa general. Pero el decreto 408/2026 limita la validación de la entidad a tres extremos formales y deja la exactitud del monto bajo responsabilidad exclusiva del empleador, de modo que una liquidación sobredimensionada a favor de un trabajador registrado, o un acuerdo del art. 241 LCT por un monto desproporcionado, no encuentra control de razonabilidad. A ello se suma que, al no haber analizado los ingresos, la entidad carece de la referencia básica para construir el perfil transaccional de su cliente, que es el presupuesto de cualquier monitoreo eficaz de los egresos.</w:t>
      </w:r>
    </w:p>
    <w:p w14:paraId="056BF5AC" w14:textId="3A90EC36" w:rsidR="008C3B42" w:rsidRDefault="0078339C">
      <w:pPr>
        <w:pStyle w:val="Ttulo1"/>
        <w:keepNext/>
        <w:spacing w:before="360" w:after="180"/>
      </w:pPr>
      <w:r>
        <w:lastRenderedPageBreak/>
        <w:t>VIII. El contraste con el mercado de criptoactivos</w:t>
      </w:r>
      <w:r w:rsidR="00765C0C">
        <w:t>.</w:t>
      </w:r>
    </w:p>
    <w:p w14:paraId="056BF5AD" w14:textId="64C29421" w:rsidR="008C3B42" w:rsidRPr="00765C0C" w:rsidRDefault="0078339C">
      <w:pPr>
        <w:pStyle w:val="Ttulo2"/>
        <w:keepNext/>
        <w:spacing w:before="240" w:after="120"/>
        <w:rPr>
          <w:b/>
          <w:bCs/>
          <w:i w:val="0"/>
          <w:iCs w:val="0"/>
        </w:rPr>
      </w:pPr>
      <w:r w:rsidRPr="00765C0C">
        <w:rPr>
          <w:b/>
          <w:bCs/>
          <w:i w:val="0"/>
          <w:iCs w:val="0"/>
        </w:rPr>
        <w:t>VIII.1. El régimen de los proveedores de servicios de activos virtuales</w:t>
      </w:r>
      <w:r w:rsidR="00765C0C" w:rsidRPr="00765C0C">
        <w:rPr>
          <w:b/>
          <w:bCs/>
          <w:i w:val="0"/>
          <w:iCs w:val="0"/>
        </w:rPr>
        <w:t>.</w:t>
      </w:r>
    </w:p>
    <w:p w14:paraId="056BF5AE" w14:textId="77777777" w:rsidR="008C3B42" w:rsidRDefault="0078339C">
      <w:pPr>
        <w:spacing w:after="120" w:line="360" w:lineRule="auto"/>
        <w:ind w:firstLine="567"/>
        <w:jc w:val="both"/>
      </w:pPr>
      <w:r>
        <w:t>Para apreciar la exención en su contexto es necesario describir, siquiera sumariamente, el régimen al que se encuentra sometido el mercado de criptoactivos en la Argentina. La ley 27.739 (B.O. 15/03/2024) incorporó a la ley 25.246 las definiciones de "activo virtual" y de "proveedor de servicios de activos virtuales" (PSAV) (art. 4° bis), creó el Registro de PSAV a cargo de la CNV (arts. 37 a 39) e incorporó a los PSAV como sujetos obligados ante la UIF (art. 20, inc. 13)</w:t>
      </w:r>
      <w:r>
        <w:rPr>
          <w:rStyle w:val="Refdenotaalpie"/>
        </w:rPr>
        <w:footnoteReference w:id="14"/>
      </w:r>
      <w:r>
        <w:t>. Son PSAV quienes, como negocio y por cuenta de terceros, realizan intercambios entre activos virtuales y monedas de curso legal, intercambios entre activos virtuales, transferencias, custodia o administración de activos virtuales, o participan en la oferta o venta de un activo virtual.</w:t>
      </w:r>
    </w:p>
    <w:p w14:paraId="056BF5AF" w14:textId="77777777" w:rsidR="008C3B42" w:rsidRDefault="0078339C">
      <w:pPr>
        <w:spacing w:after="120" w:line="360" w:lineRule="auto"/>
        <w:ind w:firstLine="567"/>
        <w:jc w:val="both"/>
      </w:pPr>
      <w:r>
        <w:t>La CNV instrumentó el registro mediante la resolución general 994/2024 y reglamentó la actividad mediante la resolución general 1058/2025, que estableció categorías de PSAV, requisitos patrimoniales, de ciberseguridad y de custodia, y regímenes informativos, exceptuando de la inscripción solo a quienes no superen 35.000 UVA de operaciones mensuales. Con posterioridad, la resolución general 1118/2026 reordenó el título respectivo de las Normas CNV y la resolución general 1165/2026, corregida por la 1168/2026, incorporó a los PSAV a la matriz de compatibilidades entre sujetos registrados.</w:t>
      </w:r>
    </w:p>
    <w:p w14:paraId="056BF5B0" w14:textId="77777777" w:rsidR="008C3B42" w:rsidRDefault="0078339C">
      <w:pPr>
        <w:spacing w:after="120" w:line="360" w:lineRule="auto"/>
        <w:ind w:firstLine="567"/>
        <w:jc w:val="both"/>
      </w:pPr>
      <w:r>
        <w:t>En materia de prevención del lavado, la Resolución UIF 49/2024 impone a los PSAV, entre otras obligaciones, la debida diligencia de todos sus clientes, sin umbral de monto (art. 8°, inc. d); la identificación no presencial mediante "técnicas biométricas rigurosas, almacenables, auditables y no manipulables" (art. 22); la calificación de los clientes por riesgo, considerando de mayor riesgo, entre otros, a las Sociedades por Acciones Simplificadas y a las transferencias entre pares (art. 26); la conservación de la documentación durante diez años (art. 17); la regla de viaje, por remisión a los estándares del GAFI (art. 37); y el reporte sistemático de todas las operaciones iguales o superiores a seis salarios mínimos, vitales y móviles (art. 39).</w:t>
      </w:r>
    </w:p>
    <w:p w14:paraId="056BF5B1" w14:textId="77777777" w:rsidR="008C3B42" w:rsidRDefault="0078339C">
      <w:pPr>
        <w:spacing w:after="120" w:line="360" w:lineRule="auto"/>
        <w:ind w:firstLine="567"/>
        <w:jc w:val="both"/>
      </w:pPr>
      <w:r>
        <w:t xml:space="preserve">La CNV, por su parte, reforzó ese régimen mediante la resolución general 1139/2026 (B.O. 14/05/2026), complementada por la 1141/2026: estableció como principio la </w:t>
      </w:r>
      <w:r>
        <w:lastRenderedPageBreak/>
        <w:t>prohibición de operar con efectivo para los sujetos obligados del mercado de capitales, incorporó expresamente a los PSAV al régimen informativo de prevención a través de la Autopista de la Información Financiera, con vigencia desde el 1° de julio de 2026, y exigió actualizar la información sobre beneficiarios finales dentro de los treinta días de producido un cambio y revisar semestralmente la calificación de clientes y el monitoreo.</w:t>
      </w:r>
    </w:p>
    <w:p w14:paraId="056BF5B2" w14:textId="618A2B56" w:rsidR="008C3B42" w:rsidRPr="00677B21" w:rsidRDefault="0078339C">
      <w:pPr>
        <w:pStyle w:val="Ttulo2"/>
        <w:keepNext/>
        <w:spacing w:before="240" w:after="120"/>
        <w:rPr>
          <w:b/>
          <w:bCs/>
          <w:i w:val="0"/>
          <w:iCs w:val="0"/>
        </w:rPr>
      </w:pPr>
      <w:r w:rsidRPr="00677B21">
        <w:rPr>
          <w:b/>
          <w:bCs/>
          <w:i w:val="0"/>
          <w:iCs w:val="0"/>
        </w:rPr>
        <w:t xml:space="preserve">VIII.2. Los valores negociables </w:t>
      </w:r>
      <w:proofErr w:type="spellStart"/>
      <w:r w:rsidRPr="00677B21">
        <w:rPr>
          <w:b/>
          <w:bCs/>
          <w:i w:val="0"/>
          <w:iCs w:val="0"/>
        </w:rPr>
        <w:t>tokenizados</w:t>
      </w:r>
      <w:proofErr w:type="spellEnd"/>
      <w:r w:rsidR="00677B21" w:rsidRPr="00677B21">
        <w:rPr>
          <w:b/>
          <w:bCs/>
          <w:i w:val="0"/>
          <w:iCs w:val="0"/>
        </w:rPr>
        <w:t>.</w:t>
      </w:r>
    </w:p>
    <w:p w14:paraId="72E8D555" w14:textId="77777777" w:rsidR="00677B21" w:rsidRDefault="0078339C">
      <w:pPr>
        <w:spacing w:after="120" w:line="360" w:lineRule="auto"/>
        <w:ind w:firstLine="567"/>
        <w:jc w:val="both"/>
      </w:pPr>
      <w:r>
        <w:t>En paralelo, la CNV construyó por etapas un régimen de representación digital de valores negociables mediante tecnologías de registro distribuido</w:t>
      </w:r>
      <w:r>
        <w:rPr>
          <w:rStyle w:val="Refdenotaalpie"/>
        </w:rPr>
        <w:footnoteReference w:id="15"/>
      </w:r>
      <w:r>
        <w:t xml:space="preserve">. </w:t>
      </w:r>
    </w:p>
    <w:p w14:paraId="0AE6AA91" w14:textId="77777777" w:rsidR="00677B21" w:rsidRDefault="00677B21">
      <w:pPr>
        <w:spacing w:after="120" w:line="360" w:lineRule="auto"/>
        <w:ind w:firstLine="567"/>
        <w:jc w:val="both"/>
      </w:pPr>
      <w:r>
        <w:t>-</w:t>
      </w:r>
      <w:r w:rsidR="0078339C">
        <w:t xml:space="preserve">La resolución general 1069/2025 inauguró la primera etapa, referida a activos del mundo real, permitiendo </w:t>
      </w:r>
      <w:proofErr w:type="spellStart"/>
      <w:r w:rsidR="0078339C">
        <w:t>tokenizar</w:t>
      </w:r>
      <w:proofErr w:type="spellEnd"/>
      <w:r w:rsidR="0078339C">
        <w:t xml:space="preserve"> valores fiduciarios de fideicomisos financieros y </w:t>
      </w:r>
      <w:proofErr w:type="spellStart"/>
      <w:r w:rsidR="0078339C">
        <w:t>cuotapartes</w:t>
      </w:r>
      <w:proofErr w:type="spellEnd"/>
      <w:r w:rsidR="0078339C">
        <w:t xml:space="preserve"> de fondos comunes de inversión cerrados con activos no negociables en mercados. </w:t>
      </w:r>
    </w:p>
    <w:p w14:paraId="7C510130" w14:textId="77777777" w:rsidR="00677B21" w:rsidRDefault="00677B21">
      <w:pPr>
        <w:spacing w:after="120" w:line="360" w:lineRule="auto"/>
        <w:ind w:firstLine="567"/>
        <w:jc w:val="both"/>
      </w:pPr>
      <w:r>
        <w:t>-</w:t>
      </w:r>
      <w:r w:rsidR="0078339C">
        <w:t xml:space="preserve">La resolución general 1081/2025 amplió el régimen a acciones, obligaciones negociables y </w:t>
      </w:r>
      <w:proofErr w:type="spellStart"/>
      <w:r w:rsidR="0078339C">
        <w:t>CEDEARs</w:t>
      </w:r>
      <w:proofErr w:type="spellEnd"/>
      <w:r w:rsidR="0078339C">
        <w:t xml:space="preserve">, y designó a los PSAV inscriptos en todas las categorías del registro como depositarios de los valores </w:t>
      </w:r>
      <w:proofErr w:type="spellStart"/>
      <w:r w:rsidR="0078339C">
        <w:t>tokenizados</w:t>
      </w:r>
      <w:proofErr w:type="spellEnd"/>
      <w:r w:rsidR="0078339C">
        <w:t xml:space="preserve">, con responsabilidad en materia de custodia y de prevención del lavado. </w:t>
      </w:r>
    </w:p>
    <w:p w14:paraId="2257380A" w14:textId="77777777" w:rsidR="00677B21" w:rsidRDefault="00677B21">
      <w:pPr>
        <w:spacing w:after="120" w:line="360" w:lineRule="auto"/>
        <w:ind w:firstLine="567"/>
        <w:jc w:val="both"/>
      </w:pPr>
      <w:r>
        <w:t>-</w:t>
      </w:r>
      <w:r w:rsidR="0078339C">
        <w:t xml:space="preserve">La resolución general 1087/2025 lo extendió a los regímenes de oferta pública automática de mediano impacto y de emisores frecuentes, eliminando el requisito de listado para las emisiones íntegramente digitales. </w:t>
      </w:r>
    </w:p>
    <w:p w14:paraId="270386C6" w14:textId="77777777" w:rsidR="00677B21" w:rsidRDefault="00677B21">
      <w:pPr>
        <w:spacing w:after="120" w:line="360" w:lineRule="auto"/>
        <w:ind w:firstLine="567"/>
        <w:jc w:val="both"/>
      </w:pPr>
      <w:r>
        <w:t>-</w:t>
      </w:r>
      <w:r w:rsidR="0078339C">
        <w:t xml:space="preserve">La resolución general 1137/2026 sometió a consulta la extensión de la tokenización a todos los valores emitidos bajo regímenes de autorización automática, con excepción de los aplicables a los fondos comunes de inversión abiertos, y la prórroga del entorno de prueba regulatorio. </w:t>
      </w:r>
    </w:p>
    <w:p w14:paraId="056BF5B3" w14:textId="4D560F21" w:rsidR="008C3B42" w:rsidRDefault="00677B21">
      <w:pPr>
        <w:spacing w:after="120" w:line="360" w:lineRule="auto"/>
        <w:ind w:firstLine="567"/>
        <w:jc w:val="both"/>
      </w:pPr>
      <w:r>
        <w:t>-</w:t>
      </w:r>
      <w:r w:rsidR="0078339C">
        <w:t>Finalmente, la resolución general 1150/2026 amplió el alcance a acciones y obligaciones negociables ya emitidas y prorrogó ese entorno hasta el 31 de diciembre de 2027.</w:t>
      </w:r>
    </w:p>
    <w:p w14:paraId="056BF5B4" w14:textId="32A57E8A" w:rsidR="008C3B42" w:rsidRPr="00677B21" w:rsidRDefault="0078339C">
      <w:pPr>
        <w:pStyle w:val="Ttulo2"/>
        <w:keepNext/>
        <w:spacing w:before="240" w:after="120"/>
        <w:rPr>
          <w:b/>
          <w:bCs/>
          <w:i w:val="0"/>
          <w:iCs w:val="0"/>
        </w:rPr>
      </w:pPr>
      <w:r w:rsidRPr="00677B21">
        <w:rPr>
          <w:b/>
          <w:bCs/>
          <w:i w:val="0"/>
          <w:iCs w:val="0"/>
        </w:rPr>
        <w:lastRenderedPageBreak/>
        <w:t xml:space="preserve">VIII.3. La </w:t>
      </w:r>
      <w:r w:rsidR="00677B21">
        <w:rPr>
          <w:b/>
          <w:bCs/>
          <w:i w:val="0"/>
          <w:iCs w:val="0"/>
        </w:rPr>
        <w:t>diferencia de controles</w:t>
      </w:r>
      <w:r w:rsidR="00677B21" w:rsidRPr="00677B21">
        <w:rPr>
          <w:b/>
          <w:bCs/>
          <w:i w:val="0"/>
          <w:iCs w:val="0"/>
        </w:rPr>
        <w:t>.</w:t>
      </w:r>
    </w:p>
    <w:p w14:paraId="056BF5B5" w14:textId="77777777" w:rsidR="008C3B42" w:rsidRDefault="0078339C">
      <w:pPr>
        <w:spacing w:after="120" w:line="360" w:lineRule="auto"/>
        <w:ind w:firstLine="567"/>
        <w:jc w:val="both"/>
      </w:pPr>
      <w:r>
        <w:t>Puestos uno junto al otro, ambos regímenes revelan una asimetría difícil de justificar desde el enfoque basado en riesgo que la UIF invoca.</w:t>
      </w:r>
    </w:p>
    <w:p w14:paraId="056BF5B6" w14:textId="364F7592" w:rsidR="008C3B42" w:rsidRDefault="0078339C">
      <w:pPr>
        <w:spacing w:after="120" w:line="360" w:lineRule="auto"/>
        <w:ind w:firstLine="567"/>
        <w:jc w:val="both"/>
      </w:pPr>
      <w:r>
        <w:t xml:space="preserve">En primer lugar, el mismo tipo de vehículo recibe un tratamiento opuesto según quién lo opere. La suscripción de una </w:t>
      </w:r>
      <w:proofErr w:type="spellStart"/>
      <w:r>
        <w:t>cuotaparte</w:t>
      </w:r>
      <w:proofErr w:type="spellEnd"/>
      <w:r>
        <w:t xml:space="preserve"> de un fondo común de inversión </w:t>
      </w:r>
      <w:proofErr w:type="spellStart"/>
      <w:r>
        <w:t>tokenizada</w:t>
      </w:r>
      <w:proofErr w:type="spellEnd"/>
      <w:r>
        <w:t>, cuyo depositario es un PSAV, está sujeta a debida diligencia, identificación biométrica, monitoreo y reporte. El aporte, la contribución voluntaria o la donación a un fondo común de inversión abierto destinado al FAL, supervisado por la misma CNV, está exceptuado de toda medida. Y el ejemplo puede hacerse más gráfico</w:t>
      </w:r>
      <w:r w:rsidR="00677B21">
        <w:t>, porque</w:t>
      </w:r>
      <w:r>
        <w:t xml:space="preserve"> una Sociedad por Acciones Simplificada es, para un PSAV, un cliente de mayor riesgo por disposición expresa de la UIF</w:t>
      </w:r>
      <w:r w:rsidR="00677B21">
        <w:t>, y</w:t>
      </w:r>
      <w:r>
        <w:t xml:space="preserve"> esa misma sociedad, en su condición de empleadora, puede recibir en su cuenta FAL ingresos de terceros sin que nadie le pregunte por su origen.</w:t>
      </w:r>
    </w:p>
    <w:p w14:paraId="056BF5B7" w14:textId="77777777" w:rsidR="008C3B42" w:rsidRDefault="0078339C">
      <w:pPr>
        <w:spacing w:after="120" w:line="360" w:lineRule="auto"/>
        <w:ind w:firstLine="567"/>
        <w:jc w:val="both"/>
      </w:pPr>
      <w:r>
        <w:t>En segundo lugar, la cronología. En mayo de 2026 la CNV endureció el régimen de prevención de los sujetos del mercado de capitales, incluidos los PSAV, con nuevas exigencias de reporte, actualización de beneficiarios finales y revisión semestral. Cuatro meses después, la misma CNV sugirió a la UIF eximir de toda medida a los ingresos de los FAL, y la UIF lo concedió al día siguiente de que la CNV reglamentara los vehículos.</w:t>
      </w:r>
    </w:p>
    <w:p w14:paraId="056BF5B8" w14:textId="37AB34A3" w:rsidR="008C3B42" w:rsidRDefault="0078339C">
      <w:pPr>
        <w:spacing w:after="120" w:line="360" w:lineRule="auto"/>
        <w:ind w:firstLine="567"/>
        <w:jc w:val="both"/>
      </w:pPr>
      <w:r>
        <w:t>En tercer lugar, y esto es lo más significativo, la calidad de la trazabilidad invocada. Los mitigantes que la UIF enumera para el FAL, esto es, un identificador único, la identificación del aportante, la trazabilidad integral de los recursos y el registro de todos los movimientos de la cuenta (art. 63 de la ley), son exactamente las propiedades que una red de registro distribuido ofrece de manera nativa y verificable por terceros. En el FAL esas propiedades son declaradas</w:t>
      </w:r>
      <w:r w:rsidR="00677B21">
        <w:t>, y</w:t>
      </w:r>
      <w:r>
        <w:t xml:space="preserve"> están en los libros de la entidad habilitada y en los sistemas de la ARCA, y no son auditables por nadie ajeno a ellos. En el mercado de criptoactivos son verificables en la propia red, y aun así se someten a controles plenos</w:t>
      </w:r>
      <w:r w:rsidR="00677B21">
        <w:t xml:space="preserve">, y </w:t>
      </w:r>
      <w:r>
        <w:t xml:space="preserve">el vehículo que el decreto 408/2026 privilegió para el FAL, el fondo común de inversión </w:t>
      </w:r>
      <w:proofErr w:type="gramStart"/>
      <w:r>
        <w:t>abierto,</w:t>
      </w:r>
      <w:proofErr w:type="gramEnd"/>
      <w:r>
        <w:t xml:space="preserve"> es precisamente la categoría que el régimen de tokenización dejó fuera de su alcance en la propuesta sometida a consulta.</w:t>
      </w:r>
    </w:p>
    <w:p w14:paraId="056BF5B9" w14:textId="0A5C6930" w:rsidR="008C3B42" w:rsidRDefault="0078339C">
      <w:pPr>
        <w:spacing w:after="120" w:line="360" w:lineRule="auto"/>
        <w:ind w:firstLine="567"/>
        <w:jc w:val="both"/>
      </w:pPr>
      <w:r>
        <w:t>El resultado es que el ordenamiento trata como de riesgo alto a la tecnología que hace visibles las transacciones y como de riesgo reducido a la que las mantiene dentro de registros privados. El criterio de diferenciación no parece ser el riesgo, sino la identidad del operador</w:t>
      </w:r>
      <w:r w:rsidR="00677B21">
        <w:t>, que por un lado es</w:t>
      </w:r>
      <w:r>
        <w:t xml:space="preserve"> el mercado de capitales tradicional de un lado y el ecosistema de activos virtuales del otro. Ello no significa que los PSAV deban ser eximidos, sino que el enfoque </w:t>
      </w:r>
      <w:r>
        <w:lastRenderedPageBreak/>
        <w:t>basado en riesgo exige coherencia, y la coherencia es, en definitiva, la que otorga legitimidad a la regulación frente a los sujetos regulados y frente a los evaluadores internacionales.</w:t>
      </w:r>
    </w:p>
    <w:p w14:paraId="056BF5BA" w14:textId="163C007A" w:rsidR="008C3B42" w:rsidRDefault="0078339C">
      <w:pPr>
        <w:pStyle w:val="Ttulo1"/>
        <w:keepNext/>
        <w:spacing w:before="360" w:after="180"/>
      </w:pPr>
      <w:r>
        <w:t>IX. Conclusiones</w:t>
      </w:r>
      <w:r w:rsidR="00677B21">
        <w:t>.</w:t>
      </w:r>
    </w:p>
    <w:p w14:paraId="056BF5BB" w14:textId="77777777" w:rsidR="008C3B42" w:rsidRDefault="0078339C">
      <w:pPr>
        <w:spacing w:after="120" w:line="360" w:lineRule="auto"/>
        <w:ind w:firstLine="567"/>
        <w:jc w:val="both"/>
      </w:pPr>
      <w:r>
        <w:t>El análisis del Fondo de Asistencia Laboral y de su marco reglamentario permite formular las siguientes conclusiones:</w:t>
      </w:r>
    </w:p>
    <w:p w14:paraId="056BF5BC" w14:textId="518A3DAE" w:rsidR="008C3B42" w:rsidRDefault="0078339C">
      <w:pPr>
        <w:spacing w:after="120" w:line="360" w:lineRule="auto"/>
        <w:ind w:firstLine="567"/>
        <w:jc w:val="both"/>
      </w:pPr>
      <w:r>
        <w:t>a) El FAL corrige, en lo formal, algunos de los defectos del fondo de cese de la ley 27.742</w:t>
      </w:r>
      <w:r w:rsidR="00677B21">
        <w:t>, ya que</w:t>
      </w:r>
      <w:r>
        <w:t xml:space="preserve"> se crea por ley, es general, no depende de la negociación colectiva, no altera el régimen indemnizatorio y no traslada al trabajador el riesgo de la inversión. Pero el problema cambió de lugar</w:t>
      </w:r>
      <w:r w:rsidR="00677B21">
        <w:t>, y es que</w:t>
      </w:r>
      <w:r>
        <w:t xml:space="preserve"> el costo del régimen lo soporta íntegramente la seguridad social, cuyas contribuciones se detraen en la misma medida en que se integra el fondo.</w:t>
      </w:r>
    </w:p>
    <w:p w14:paraId="056BF5BD" w14:textId="77777777" w:rsidR="008C3B42" w:rsidRDefault="0078339C">
      <w:pPr>
        <w:spacing w:after="120" w:line="360" w:lineRule="auto"/>
        <w:ind w:firstLine="567"/>
        <w:jc w:val="both"/>
      </w:pPr>
      <w:r>
        <w:t>b) Para el trabajador el FAL no representa beneficio sustancial alguno. Su crédito es el mismo, su deudor es el mismo, no tiene derecho sobre la cuenta y, si no está registrado, el fondo no existe para él. La "asistencia" que el régimen presta es al empleador.</w:t>
      </w:r>
    </w:p>
    <w:p w14:paraId="056BF5BE" w14:textId="77777777" w:rsidR="008C3B42" w:rsidRDefault="0078339C">
      <w:pPr>
        <w:spacing w:after="120" w:line="360" w:lineRule="auto"/>
        <w:ind w:firstLine="567"/>
        <w:jc w:val="both"/>
      </w:pPr>
      <w:r>
        <w:t>c) Para el empleador, el FAL es una cuenta de ahorro corporativo, financieramente neutra, inembargable, con rendimientos exentos y cuyo remanente le es devuelto al extinguirse la cuenta. Su uso para pagar indemnizaciones es optativo y, dado el tratamiento tributario de los pagos, desaconsejado. En las situaciones de crisis que justificarían su existencia, el pozo común resultará insuficiente.</w:t>
      </w:r>
    </w:p>
    <w:p w14:paraId="056BF5BF" w14:textId="77777777" w:rsidR="008C3B42" w:rsidRDefault="0078339C">
      <w:pPr>
        <w:spacing w:after="120" w:line="360" w:lineRule="auto"/>
        <w:ind w:firstLine="567"/>
        <w:jc w:val="both"/>
      </w:pPr>
      <w:r>
        <w:t>d) La política de inversión no garantiza que el fondo acompañe la evolución de la obligación que pretende cubrir, que se ajusta por salarios y no por precios. La comisión de hasta el 1% anual sobre activos, sumada a la ausencia de límite para la deuda del Estado Nacional, configura una demanda cautiva de títulos públicos en pesos financiada, en última instancia, con recursos de la seguridad social.</w:t>
      </w:r>
    </w:p>
    <w:p w14:paraId="056BF5C0" w14:textId="77777777" w:rsidR="008C3B42" w:rsidRDefault="0078339C">
      <w:pPr>
        <w:spacing w:after="120" w:line="360" w:lineRule="auto"/>
        <w:ind w:firstLine="567"/>
        <w:jc w:val="both"/>
      </w:pPr>
      <w:r>
        <w:t>e) El volumen involucrado, estimado entre 1.050 y 2.650 millones de dólares por año, es suficiente para descartar que se trate de un instrumento menor. Es, en rigor, una reasignación estructural de recursos previsionales hacia el mercado de capitales y, a través de él, hacia el Tesoro.</w:t>
      </w:r>
    </w:p>
    <w:p w14:paraId="056BF5C1" w14:textId="77777777" w:rsidR="008C3B42" w:rsidRDefault="0078339C">
      <w:pPr>
        <w:spacing w:after="120" w:line="360" w:lineRule="auto"/>
        <w:ind w:firstLine="567"/>
        <w:jc w:val="both"/>
      </w:pPr>
      <w:r>
        <w:t xml:space="preserve">f) La exención dispuesta por la Resolución UIF 109/2026 excede lo que el enfoque basado en riesgo autoriza. Sustituye la diligencia simplificada por una exención total, carece de una evaluación de riesgo documentada comparable a la que la propia UIF exige a otros sujetos, y extiende el beneficio a ingresos de terceros que no transitan por la ARCA, cuyo </w:t>
      </w:r>
      <w:r>
        <w:lastRenderedPageBreak/>
        <w:t>único resguardo, la imposibilidad de rescate, cede precisamente en los supuestos del art. 72, que conducen el dinero al patrimonio del empleador.</w:t>
      </w:r>
    </w:p>
    <w:p w14:paraId="056BF5C2" w14:textId="77777777" w:rsidR="008C3B42" w:rsidRDefault="0078339C">
      <w:pPr>
        <w:spacing w:after="120" w:line="360" w:lineRule="auto"/>
        <w:ind w:firstLine="567"/>
        <w:jc w:val="both"/>
      </w:pPr>
      <w:r>
        <w:t xml:space="preserve">g) Contrastada con el régimen de los proveedores de servicios de activos virtuales y de los valores </w:t>
      </w:r>
      <w:proofErr w:type="spellStart"/>
      <w:r>
        <w:t>tokenizados</w:t>
      </w:r>
      <w:proofErr w:type="spellEnd"/>
      <w:r>
        <w:t>, la exención revela una asimetría regulatoria que no responde al riesgo sino a la identidad del operador. Se exige todo a la tecnología que permite verificar la trazabilidad y se exime de todo al vehículo que solo la declara.</w:t>
      </w:r>
    </w:p>
    <w:p w14:paraId="056BF5C3" w14:textId="1AD20054" w:rsidR="008C3B42" w:rsidRDefault="0078339C">
      <w:pPr>
        <w:spacing w:after="120" w:line="360" w:lineRule="auto"/>
        <w:ind w:firstLine="567"/>
        <w:jc w:val="both"/>
      </w:pPr>
      <w:r>
        <w:t>El Fondo de Asistencia Laboral promete asistir al trabajador en el momento de la extinción de su contrato</w:t>
      </w:r>
      <w:r w:rsidR="00677B21">
        <w:t>, pero e</w:t>
      </w:r>
      <w:r>
        <w:t xml:space="preserve">xaminado de cerca, asiste al empleador con recursos de la seguridad social, alimenta la demanda de deuda pública y abre, en materia de prevención del lavado de activos, una puerta que el mismo sistema mantiene cerrada con doble llave para el mercado de criptoactivos. </w:t>
      </w:r>
      <w:r w:rsidR="00677B21">
        <w:t>N</w:t>
      </w:r>
      <w:r>
        <w:t>o parece ser el camino hacia la modernización laboral, sino un nuevo capítulo en la conversión del derecho del trabajo y de la seguridad social en un apéndice del derecho financiero.</w:t>
      </w:r>
    </w:p>
    <w:sectPr w:rsidR="008C3B42">
      <w:footerReference w:type="default" r:id="rId8"/>
      <w:pgSz w:w="11906" w:h="16838"/>
      <w:pgMar w:top="1418" w:right="1418" w:bottom="1418"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A6BA5" w14:textId="77777777" w:rsidR="00854852" w:rsidRDefault="00854852">
      <w:r>
        <w:separator/>
      </w:r>
    </w:p>
  </w:endnote>
  <w:endnote w:type="continuationSeparator" w:id="0">
    <w:p w14:paraId="486B5CCA" w14:textId="77777777" w:rsidR="00854852" w:rsidRDefault="00854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BF5C4" w14:textId="1139ACF8" w:rsidR="008C3B42" w:rsidRDefault="0078339C">
    <w:pPr>
      <w:jc w:val="center"/>
    </w:pPr>
    <w:r>
      <w:rPr>
        <w:sz w:val="20"/>
        <w:szCs w:val="20"/>
      </w:rPr>
      <w:fldChar w:fldCharType="begin"/>
    </w:r>
    <w:r>
      <w:rPr>
        <w:sz w:val="20"/>
        <w:szCs w:val="20"/>
      </w:rPr>
      <w:instrText>PAGE</w:instrText>
    </w:r>
    <w:r>
      <w:rPr>
        <w:sz w:val="20"/>
        <w:szCs w:val="20"/>
      </w:rPr>
      <w:fldChar w:fldCharType="separate"/>
    </w:r>
    <w:r w:rsidR="001F1CB5">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3FD05" w14:textId="77777777" w:rsidR="00854852" w:rsidRDefault="00854852">
      <w:r>
        <w:separator/>
      </w:r>
    </w:p>
  </w:footnote>
  <w:footnote w:type="continuationSeparator" w:id="0">
    <w:p w14:paraId="12731FC3" w14:textId="77777777" w:rsidR="00854852" w:rsidRDefault="00854852">
      <w:r>
        <w:continuationSeparator/>
      </w:r>
    </w:p>
  </w:footnote>
  <w:footnote w:id="1">
    <w:p w14:paraId="446E1BEC" w14:textId="39A48240" w:rsidR="00DB0087" w:rsidRDefault="00DB0087" w:rsidP="00DB0087">
      <w:pPr>
        <w:spacing w:after="60"/>
        <w:jc w:val="both"/>
      </w:pPr>
      <w:r>
        <w:rPr>
          <w:rStyle w:val="Refdenotaalpie"/>
        </w:rPr>
        <w:footnoteRef/>
      </w:r>
      <w:r>
        <w:rPr>
          <w:sz w:val="20"/>
          <w:szCs w:val="20"/>
        </w:rPr>
        <w:t>ARCA, Resolución General 5907/2026</w:t>
      </w:r>
      <w:r>
        <w:rPr>
          <w:sz w:val="20"/>
          <w:szCs w:val="20"/>
        </w:rPr>
        <w:t xml:space="preserve">. </w:t>
      </w:r>
    </w:p>
  </w:footnote>
  <w:footnote w:id="2">
    <w:p w14:paraId="4F31FF9B" w14:textId="77777777" w:rsidR="00DB0087" w:rsidRDefault="00DB0087" w:rsidP="00DB0087">
      <w:pPr>
        <w:spacing w:after="60"/>
        <w:jc w:val="both"/>
      </w:pPr>
      <w:r>
        <w:rPr>
          <w:rStyle w:val="Refdenotaalpie"/>
        </w:rPr>
        <w:footnoteRef/>
      </w:r>
      <w:r>
        <w:rPr>
          <w:sz w:val="20"/>
          <w:szCs w:val="20"/>
        </w:rPr>
        <w:t xml:space="preserve">GONZÁLEZ ROSSI, Alejandro, "Apuntes en cuestiones referidas al fondo de desempleo de la Ley Bases y las reglamentaciones </w:t>
      </w:r>
      <w:proofErr w:type="spellStart"/>
      <w:r>
        <w:rPr>
          <w:sz w:val="20"/>
          <w:szCs w:val="20"/>
        </w:rPr>
        <w:t>dec</w:t>
      </w:r>
      <w:proofErr w:type="spellEnd"/>
      <w:r>
        <w:rPr>
          <w:sz w:val="20"/>
          <w:szCs w:val="20"/>
        </w:rPr>
        <w:t>. 847/2024 y res. (CNV) 1071/2025", LA LEY, 01/09/2025, p. 5, TR LALEY AR/DOC/2048/2025.</w:t>
      </w:r>
    </w:p>
  </w:footnote>
  <w:footnote w:id="3">
    <w:p w14:paraId="056BF5C6" w14:textId="77777777" w:rsidR="008C3B42" w:rsidRDefault="0078339C">
      <w:pPr>
        <w:spacing w:after="60"/>
        <w:jc w:val="both"/>
      </w:pPr>
      <w:r>
        <w:rPr>
          <w:rStyle w:val="Refdenotaalpie"/>
        </w:rPr>
        <w:footnoteRef/>
      </w:r>
      <w:r>
        <w:rPr>
          <w:sz w:val="20"/>
          <w:szCs w:val="20"/>
        </w:rPr>
        <w:t>Para una síntesis de la resolución general CNV 1167/2026 puede verse VILAPLANA, Lucas M., "CNV reglamentó los PIC FAL: las claves de la RG 1167/2026 para empresas", 25/09/2026, estudiovilaplana.com.ar.</w:t>
      </w:r>
    </w:p>
  </w:footnote>
  <w:footnote w:id="4">
    <w:p w14:paraId="056BF5C7" w14:textId="77777777" w:rsidR="008C3B42" w:rsidRDefault="0078339C">
      <w:pPr>
        <w:spacing w:after="60"/>
        <w:jc w:val="both"/>
      </w:pPr>
      <w:r>
        <w:rPr>
          <w:rStyle w:val="Refdenotaalpie"/>
        </w:rPr>
        <w:footnoteRef/>
      </w:r>
      <w:r>
        <w:rPr>
          <w:sz w:val="20"/>
          <w:szCs w:val="20"/>
        </w:rPr>
        <w:t>El problema no ha pasado inadvertido en el ámbito legislativo: se ha presentado en la Cámara de Diputados un proyecto de resolución que solicita al Poder Ejecutivo informar qué partidas presupuestarias compensarán la caída de ingresos de la ANSES derivada de la detracción prevista en el art. 24 del decreto 408/2026 (disponible en rest.hcdn.gob.ar).</w:t>
      </w:r>
    </w:p>
  </w:footnote>
  <w:footnote w:id="5">
    <w:p w14:paraId="056BF5C8" w14:textId="77777777" w:rsidR="008C3B42" w:rsidRDefault="0078339C">
      <w:pPr>
        <w:spacing w:after="60"/>
        <w:jc w:val="both"/>
      </w:pPr>
      <w:r>
        <w:rPr>
          <w:rStyle w:val="Refdenotaalpie"/>
        </w:rPr>
        <w:footnoteRef/>
      </w:r>
      <w:r>
        <w:rPr>
          <w:sz w:val="20"/>
          <w:szCs w:val="20"/>
        </w:rPr>
        <w:t>Sobre el tratamiento de las sumas abonadas con motivo de la extinción del contrato de trabajo en el impuesto a las ganancias, me remito a GONZÁLEZ ROSSI, Alejandro, "El impuesto a las ganancias y las sumas dadas con motivo de la finalización del contrato de trabajo", DT 2014 (septiembre), 2412.</w:t>
      </w:r>
    </w:p>
  </w:footnote>
  <w:footnote w:id="6">
    <w:p w14:paraId="056BF5C9" w14:textId="77777777" w:rsidR="008C3B42" w:rsidRDefault="0078339C">
      <w:pPr>
        <w:spacing w:after="60"/>
        <w:jc w:val="both"/>
      </w:pPr>
      <w:r>
        <w:rPr>
          <w:rStyle w:val="Refdenotaalpie"/>
        </w:rPr>
        <w:footnoteRef/>
      </w:r>
      <w:r>
        <w:rPr>
          <w:sz w:val="20"/>
          <w:szCs w:val="20"/>
        </w:rPr>
        <w:t>Se ha informado que la constitucionalidad del régimen se encuentra cuestionada en sede judicial en una acción promovida por la Confederación General del Trabajo, con la cuestión de fondo reservada para la sentencia definitiva (VILAPLANA, ob. cit.).</w:t>
      </w:r>
    </w:p>
  </w:footnote>
  <w:footnote w:id="7">
    <w:p w14:paraId="13251198" w14:textId="450C71F4" w:rsidR="00D30BE3" w:rsidRDefault="00D30BE3">
      <w:pPr>
        <w:pStyle w:val="Textonotapie"/>
      </w:pPr>
      <w:r>
        <w:rPr>
          <w:rStyle w:val="Refdenotaalpie"/>
        </w:rPr>
        <w:footnoteRef/>
      </w:r>
      <w:r>
        <w:t xml:space="preserve"> </w:t>
      </w:r>
      <w:r w:rsidRPr="00D30BE3">
        <w:t>GONZÁLEZ ROSSI, Alejandro, "Apuntes en cuestiones referidas al fondo de desempleo...", ob. cit.</w:t>
      </w:r>
    </w:p>
  </w:footnote>
  <w:footnote w:id="8">
    <w:p w14:paraId="056BF5CA" w14:textId="77777777" w:rsidR="008C3B42" w:rsidRDefault="0078339C">
      <w:pPr>
        <w:spacing w:after="60"/>
        <w:jc w:val="both"/>
      </w:pPr>
      <w:r>
        <w:rPr>
          <w:rStyle w:val="Refdenotaalpie"/>
        </w:rPr>
        <w:footnoteRef/>
      </w:r>
      <w:r>
        <w:rPr>
          <w:sz w:val="20"/>
          <w:szCs w:val="20"/>
        </w:rPr>
        <w:t>Sobre la base de cálculo del art. 245 LCT me remito a GONZÁLEZ ROSSI, Alejandro, "El requisito de mejor remuneración 'mensual' en el art. 245 de la LCT. A propósito de dos posiciones encontradas", DT 2008 (mayo), 488, y a mis comentarios a los arts. 240 a 244 en FOGLIA, Ricardo (</w:t>
      </w:r>
      <w:proofErr w:type="spellStart"/>
      <w:r>
        <w:rPr>
          <w:sz w:val="20"/>
          <w:szCs w:val="20"/>
        </w:rPr>
        <w:t>dir.</w:t>
      </w:r>
      <w:proofErr w:type="spellEnd"/>
      <w:r>
        <w:rPr>
          <w:sz w:val="20"/>
          <w:szCs w:val="20"/>
        </w:rPr>
        <w:t>), Ley de Contrato de Trabajo comentada, La Ley, Buenos Aires, 2025.</w:t>
      </w:r>
    </w:p>
  </w:footnote>
  <w:footnote w:id="9">
    <w:p w14:paraId="056BF5CB" w14:textId="77777777" w:rsidR="008C3B42" w:rsidRDefault="0078339C">
      <w:pPr>
        <w:spacing w:after="60"/>
        <w:jc w:val="both"/>
      </w:pPr>
      <w:r>
        <w:rPr>
          <w:rStyle w:val="Refdenotaalpie"/>
        </w:rPr>
        <w:footnoteRef/>
      </w:r>
      <w:r>
        <w:rPr>
          <w:sz w:val="20"/>
          <w:szCs w:val="20"/>
        </w:rPr>
        <w:t>Ministerio de Capital Humano, Informe de situación y evolución del trabajo registrado (SIPA), publicación de junio de 2026, según fue difundido en la prensa (</w:t>
      </w:r>
      <w:proofErr w:type="spellStart"/>
      <w:r>
        <w:rPr>
          <w:sz w:val="20"/>
          <w:szCs w:val="20"/>
        </w:rPr>
        <w:t>ReconquistaHOY</w:t>
      </w:r>
      <w:proofErr w:type="spellEnd"/>
      <w:r>
        <w:rPr>
          <w:sz w:val="20"/>
          <w:szCs w:val="20"/>
        </w:rPr>
        <w:t>, 14/06/2026).</w:t>
      </w:r>
    </w:p>
  </w:footnote>
  <w:footnote w:id="10">
    <w:p w14:paraId="056BF5CC" w14:textId="77777777" w:rsidR="008C3B42" w:rsidRDefault="0078339C">
      <w:pPr>
        <w:spacing w:after="60"/>
        <w:jc w:val="both"/>
      </w:pPr>
      <w:r>
        <w:rPr>
          <w:rStyle w:val="Refdenotaalpie"/>
        </w:rPr>
        <w:footnoteRef/>
      </w:r>
      <w:r>
        <w:rPr>
          <w:sz w:val="20"/>
          <w:szCs w:val="20"/>
        </w:rPr>
        <w:t>Instituto Interdisciplinario de Economía Política (IIEP, UBA-CONICET), Informe de Empleo y Desarrollo Industrial Laboral (EDIL), agosto de 2026.</w:t>
      </w:r>
    </w:p>
  </w:footnote>
  <w:footnote w:id="11">
    <w:p w14:paraId="056BF5CD" w14:textId="77777777" w:rsidR="008C3B42" w:rsidRDefault="0078339C">
      <w:pPr>
        <w:spacing w:after="60"/>
        <w:jc w:val="both"/>
      </w:pPr>
      <w:r>
        <w:rPr>
          <w:rStyle w:val="Refdenotaalpie"/>
        </w:rPr>
        <w:footnoteRef/>
      </w:r>
      <w:r>
        <w:rPr>
          <w:sz w:val="20"/>
          <w:szCs w:val="20"/>
        </w:rPr>
        <w:t xml:space="preserve">Secretaría de Trabajo, Empleo y Seguridad Social, sobre la base del SIPA, según datos difundidos en </w:t>
      </w:r>
      <w:proofErr w:type="spellStart"/>
      <w:r>
        <w:rPr>
          <w:sz w:val="20"/>
          <w:szCs w:val="20"/>
        </w:rPr>
        <w:t>iProfesional</w:t>
      </w:r>
      <w:proofErr w:type="spellEnd"/>
      <w:r>
        <w:rPr>
          <w:sz w:val="20"/>
          <w:szCs w:val="20"/>
        </w:rPr>
        <w:t>, 09/09/2024.</w:t>
      </w:r>
    </w:p>
  </w:footnote>
  <w:footnote w:id="12">
    <w:p w14:paraId="056BF5CE" w14:textId="77777777" w:rsidR="008C3B42" w:rsidRDefault="0078339C">
      <w:pPr>
        <w:spacing w:after="60"/>
        <w:jc w:val="both"/>
      </w:pPr>
      <w:r>
        <w:rPr>
          <w:rStyle w:val="Refdenotaalpie"/>
        </w:rPr>
        <w:footnoteRef/>
      </w:r>
      <w:r>
        <w:rPr>
          <w:sz w:val="20"/>
          <w:szCs w:val="20"/>
        </w:rPr>
        <w:t>La estimación es mía y tiene carácter meramente indicativo. Deben considerarse, entre otras salvedades, que el promedio de remuneraciones del SIPA no coincide exactamente con la base de cálculo de las contribuciones, que quedan excluidos los trabajadores de la industria de la construcción (ley 22.250) y que la cifra de asalariados surge de combinar dos fuentes y no de un dato oficial publicado para el mes considerado.</w:t>
      </w:r>
    </w:p>
  </w:footnote>
  <w:footnote w:id="13">
    <w:p w14:paraId="056BF5CF" w14:textId="77777777" w:rsidR="008C3B42" w:rsidRDefault="0078339C">
      <w:pPr>
        <w:spacing w:after="60"/>
        <w:jc w:val="both"/>
      </w:pPr>
      <w:r>
        <w:rPr>
          <w:rStyle w:val="Refdenotaalpie"/>
        </w:rPr>
        <w:footnoteRef/>
      </w:r>
      <w:r>
        <w:rPr>
          <w:sz w:val="20"/>
          <w:szCs w:val="20"/>
        </w:rPr>
        <w:t>GAFI, Estándares Internacionales sobre la Lucha contra el Lavado de Activos, el Financiamiento del Terrorismo y el Financiamiento de la Proliferación, Nota Interpretativa de la Recomendación 1, párr. 6.</w:t>
      </w:r>
    </w:p>
  </w:footnote>
  <w:footnote w:id="14">
    <w:p w14:paraId="056BF5D0" w14:textId="77777777" w:rsidR="008C3B42" w:rsidRDefault="0078339C">
      <w:pPr>
        <w:spacing w:after="60"/>
        <w:jc w:val="both"/>
      </w:pPr>
      <w:r>
        <w:rPr>
          <w:rStyle w:val="Refdenotaalpie"/>
        </w:rPr>
        <w:footnoteRef/>
      </w:r>
      <w:r>
        <w:rPr>
          <w:sz w:val="20"/>
          <w:szCs w:val="20"/>
        </w:rPr>
        <w:t>Me ocupé del registro en GONZÁLEZ ROSSI, Alejandro, "Sobre el Registro de Proveedores de Criptoactivos en Argentina", LA LEY, 29/04/2024. Sobre la calificación de los criptoactivos, GONZÁLEZ ROSSI, Alejandro y FLEITAS, Oscar, "Los criptoactivos y su tratamiento como instrumentos de inversión", LA LEY, 24/04/2024.</w:t>
      </w:r>
    </w:p>
  </w:footnote>
  <w:footnote w:id="15">
    <w:p w14:paraId="056BF5D1" w14:textId="77777777" w:rsidR="008C3B42" w:rsidRDefault="0078339C">
      <w:pPr>
        <w:spacing w:after="60"/>
        <w:jc w:val="both"/>
      </w:pPr>
      <w:r>
        <w:rPr>
          <w:rStyle w:val="Refdenotaalpie"/>
        </w:rPr>
        <w:footnoteRef/>
      </w:r>
      <w:r>
        <w:rPr>
          <w:sz w:val="20"/>
          <w:szCs w:val="20"/>
        </w:rPr>
        <w:t>Sobre la noción de tokenización y sus categorías me remito a GONZÁLEZ ROSSI, Alejandro, "¿Qué es eso de la tokenización? Propuesta de conceptos y lineamientos para futuras normativas", LA LEY, 23/07/2026.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F0350"/>
    <w:multiLevelType w:val="hybridMultilevel"/>
    <w:tmpl w:val="F92E1590"/>
    <w:lvl w:ilvl="0" w:tplc="7D8CD69C">
      <w:start w:val="1"/>
      <w:numFmt w:val="bullet"/>
      <w:lvlText w:val="●"/>
      <w:lvlJc w:val="left"/>
      <w:pPr>
        <w:ind w:left="720" w:hanging="360"/>
      </w:pPr>
    </w:lvl>
    <w:lvl w:ilvl="1" w:tplc="D8360930">
      <w:start w:val="1"/>
      <w:numFmt w:val="bullet"/>
      <w:lvlText w:val="○"/>
      <w:lvlJc w:val="left"/>
      <w:pPr>
        <w:ind w:left="1440" w:hanging="360"/>
      </w:pPr>
    </w:lvl>
    <w:lvl w:ilvl="2" w:tplc="BBE4B55C">
      <w:start w:val="1"/>
      <w:numFmt w:val="bullet"/>
      <w:lvlText w:val="■"/>
      <w:lvlJc w:val="left"/>
      <w:pPr>
        <w:ind w:left="2160" w:hanging="360"/>
      </w:pPr>
    </w:lvl>
    <w:lvl w:ilvl="3" w:tplc="0D442C68">
      <w:start w:val="1"/>
      <w:numFmt w:val="bullet"/>
      <w:lvlText w:val="●"/>
      <w:lvlJc w:val="left"/>
      <w:pPr>
        <w:ind w:left="2880" w:hanging="360"/>
      </w:pPr>
    </w:lvl>
    <w:lvl w:ilvl="4" w:tplc="0B309BBA">
      <w:start w:val="1"/>
      <w:numFmt w:val="bullet"/>
      <w:lvlText w:val="○"/>
      <w:lvlJc w:val="left"/>
      <w:pPr>
        <w:ind w:left="3600" w:hanging="360"/>
      </w:pPr>
    </w:lvl>
    <w:lvl w:ilvl="5" w:tplc="9BA6BF8A">
      <w:start w:val="1"/>
      <w:numFmt w:val="bullet"/>
      <w:lvlText w:val="■"/>
      <w:lvlJc w:val="left"/>
      <w:pPr>
        <w:ind w:left="4320" w:hanging="360"/>
      </w:pPr>
    </w:lvl>
    <w:lvl w:ilvl="6" w:tplc="A79A2F82">
      <w:start w:val="1"/>
      <w:numFmt w:val="bullet"/>
      <w:lvlText w:val="●"/>
      <w:lvlJc w:val="left"/>
      <w:pPr>
        <w:ind w:left="5040" w:hanging="360"/>
      </w:pPr>
    </w:lvl>
    <w:lvl w:ilvl="7" w:tplc="E2AA2492">
      <w:start w:val="1"/>
      <w:numFmt w:val="bullet"/>
      <w:lvlText w:val="●"/>
      <w:lvlJc w:val="left"/>
      <w:pPr>
        <w:ind w:left="5760" w:hanging="360"/>
      </w:pPr>
    </w:lvl>
    <w:lvl w:ilvl="8" w:tplc="53FC5D18">
      <w:start w:val="1"/>
      <w:numFmt w:val="bullet"/>
      <w:lvlText w:val="●"/>
      <w:lvlJc w:val="left"/>
      <w:pPr>
        <w:ind w:left="6480" w:hanging="360"/>
      </w:pPr>
    </w:lvl>
  </w:abstractNum>
  <w:abstractNum w:abstractNumId="1" w15:restartNumberingAfterBreak="0">
    <w:nsid w:val="4A375B48"/>
    <w:multiLevelType w:val="multilevel"/>
    <w:tmpl w:val="2D72D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4988443">
    <w:abstractNumId w:val="0"/>
    <w:lvlOverride w:ilvl="0">
      <w:startOverride w:val="1"/>
    </w:lvlOverride>
  </w:num>
  <w:num w:numId="2" w16cid:durableId="5304605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B42"/>
    <w:rsid w:val="001F1CB5"/>
    <w:rsid w:val="00381925"/>
    <w:rsid w:val="00677B21"/>
    <w:rsid w:val="00765C0C"/>
    <w:rsid w:val="0078339C"/>
    <w:rsid w:val="00854852"/>
    <w:rsid w:val="008C3B42"/>
    <w:rsid w:val="00975B46"/>
    <w:rsid w:val="00981D96"/>
    <w:rsid w:val="009A49B1"/>
    <w:rsid w:val="009A78E2"/>
    <w:rsid w:val="00D30BE3"/>
    <w:rsid w:val="00DB0087"/>
    <w:rsid w:val="00F70D6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BF557"/>
  <w15:docId w15:val="{0C391A54-3ABD-40F5-A374-6A7D7832A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b/>
      <w:bCs/>
      <w:color w:val="000000"/>
    </w:rPr>
  </w:style>
  <w:style w:type="paragraph" w:styleId="Ttulo2">
    <w:name w:val="heading 2"/>
    <w:uiPriority w:val="9"/>
    <w:unhideWhenUsed/>
    <w:qFormat/>
    <w:pPr>
      <w:outlineLvl w:val="1"/>
    </w:pPr>
    <w:rPr>
      <w:i/>
      <w:iCs/>
      <w:color w:val="000000"/>
    </w:rPr>
  </w:style>
  <w:style w:type="paragraph" w:styleId="Ttulo3">
    <w:name w:val="heading 3"/>
    <w:uiPriority w:val="9"/>
    <w:semiHidden/>
    <w:unhideWhenUsed/>
    <w:qFormat/>
    <w:pPr>
      <w:outlineLvl w:val="2"/>
    </w:pPr>
    <w:rPr>
      <w:color w:val="1F4D78"/>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20BDDF-C055-4498-8194-6CC62F00C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20</Pages>
  <Words>7421</Words>
  <Characters>38889</Characters>
  <Application>Microsoft Office Word</Application>
  <DocSecurity>0</DocSecurity>
  <Lines>571</Lines>
  <Paragraphs>135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alejandro gonzalez</cp:lastModifiedBy>
  <cp:revision>5</cp:revision>
  <dcterms:created xsi:type="dcterms:W3CDTF">2026-09-30T16:45:00Z</dcterms:created>
  <dcterms:modified xsi:type="dcterms:W3CDTF">2026-10-02T12:48:00Z</dcterms:modified>
</cp:coreProperties>
</file>